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84" w:type="dxa"/>
        <w:tblInd w:w="-365" w:type="dxa"/>
        <w:tblLook w:val="04A0" w:firstRow="1" w:lastRow="0" w:firstColumn="1" w:lastColumn="0" w:noHBand="0" w:noVBand="1"/>
      </w:tblPr>
      <w:tblGrid>
        <w:gridCol w:w="10584"/>
      </w:tblGrid>
      <w:tr w:rsidR="00F76C44" w:rsidRPr="00F257D5" w:rsidTr="0025426C">
        <w:tc>
          <w:tcPr>
            <w:tcW w:w="10584" w:type="dxa"/>
            <w:shd w:val="clear" w:color="auto" w:fill="DEEAF6" w:themeFill="accent1" w:themeFillTint="33"/>
          </w:tcPr>
          <w:p w:rsidR="00F76C44" w:rsidRPr="00F257D5" w:rsidRDefault="00F76C44" w:rsidP="00A34FCE">
            <w:pPr>
              <w:pStyle w:val="ListParagraph"/>
              <w:numPr>
                <w:ilvl w:val="0"/>
                <w:numId w:val="105"/>
              </w:numPr>
              <w:spacing w:before="60" w:after="60"/>
            </w:pPr>
            <w:r w:rsidRPr="00F257D5">
              <w:rPr>
                <w:b/>
                <w:spacing w:val="-2"/>
              </w:rPr>
              <w:t>Introduction</w:t>
            </w:r>
          </w:p>
        </w:tc>
      </w:tr>
      <w:tr w:rsidR="00F76C44" w:rsidTr="0025426C">
        <w:tc>
          <w:tcPr>
            <w:tcW w:w="10584" w:type="dxa"/>
          </w:tcPr>
          <w:p w:rsidR="00F76C44" w:rsidRDefault="00F76C44" w:rsidP="00A34FCE">
            <w:pPr>
              <w:pStyle w:val="TableParagraph"/>
              <w:spacing w:before="120" w:after="120" w:line="276" w:lineRule="auto"/>
              <w:ind w:left="147" w:right="160" w:hanging="3"/>
              <w:jc w:val="both"/>
            </w:pPr>
            <w:r>
              <w:t>The</w:t>
            </w:r>
            <w:r>
              <w:rPr>
                <w:spacing w:val="-2"/>
              </w:rPr>
              <w:t xml:space="preserve"> </w:t>
            </w:r>
            <w:r>
              <w:t>Statement</w:t>
            </w:r>
            <w:r>
              <w:rPr>
                <w:spacing w:val="-5"/>
              </w:rPr>
              <w:t xml:space="preserve"> </w:t>
            </w:r>
            <w:r>
              <w:t>of</w:t>
            </w:r>
            <w:r>
              <w:rPr>
                <w:spacing w:val="-3"/>
              </w:rPr>
              <w:t xml:space="preserve"> </w:t>
            </w:r>
            <w:r>
              <w:t>Compliance</w:t>
            </w:r>
            <w:r>
              <w:rPr>
                <w:spacing w:val="-2"/>
              </w:rPr>
              <w:t xml:space="preserve"> </w:t>
            </w:r>
            <w:r>
              <w:t>benefits</w:t>
            </w:r>
            <w:r>
              <w:rPr>
                <w:spacing w:val="-3"/>
              </w:rPr>
              <w:t xml:space="preserve"> </w:t>
            </w:r>
            <w:r>
              <w:t>the</w:t>
            </w:r>
            <w:r>
              <w:rPr>
                <w:spacing w:val="-2"/>
              </w:rPr>
              <w:t xml:space="preserve"> </w:t>
            </w:r>
            <w:r>
              <w:t>applicant</w:t>
            </w:r>
            <w:r>
              <w:rPr>
                <w:spacing w:val="-2"/>
              </w:rPr>
              <w:t xml:space="preserve"> </w:t>
            </w:r>
            <w:r>
              <w:t>by</w:t>
            </w:r>
            <w:r>
              <w:rPr>
                <w:spacing w:val="-2"/>
              </w:rPr>
              <w:t xml:space="preserve"> </w:t>
            </w:r>
            <w:r>
              <w:t>systematically</w:t>
            </w:r>
            <w:r>
              <w:rPr>
                <w:spacing w:val="-4"/>
              </w:rPr>
              <w:t xml:space="preserve"> </w:t>
            </w:r>
            <w:r>
              <w:t>ensuring</w:t>
            </w:r>
            <w:r>
              <w:rPr>
                <w:spacing w:val="-4"/>
              </w:rPr>
              <w:t xml:space="preserve"> </w:t>
            </w:r>
            <w:r>
              <w:t>that</w:t>
            </w:r>
            <w:r>
              <w:rPr>
                <w:spacing w:val="-2"/>
              </w:rPr>
              <w:t xml:space="preserve"> </w:t>
            </w:r>
            <w:r>
              <w:t>all</w:t>
            </w:r>
            <w:r>
              <w:rPr>
                <w:spacing w:val="-3"/>
              </w:rPr>
              <w:t xml:space="preserve"> </w:t>
            </w:r>
            <w:r>
              <w:t>applicable</w:t>
            </w:r>
            <w:r>
              <w:rPr>
                <w:spacing w:val="-2"/>
              </w:rPr>
              <w:t xml:space="preserve"> </w:t>
            </w:r>
            <w:r>
              <w:t>specific</w:t>
            </w:r>
            <w:r>
              <w:rPr>
                <w:spacing w:val="-3"/>
              </w:rPr>
              <w:t xml:space="preserve"> </w:t>
            </w:r>
            <w:r>
              <w:t>regulatory</w:t>
            </w:r>
            <w:r>
              <w:rPr>
                <w:spacing w:val="-2"/>
              </w:rPr>
              <w:t xml:space="preserve"> </w:t>
            </w:r>
            <w:r>
              <w:t>requirements</w:t>
            </w:r>
            <w:r>
              <w:rPr>
                <w:spacing w:val="-3"/>
              </w:rPr>
              <w:t xml:space="preserve"> </w:t>
            </w:r>
            <w:r>
              <w:t>are</w:t>
            </w:r>
            <w:r>
              <w:rPr>
                <w:spacing w:val="-5"/>
              </w:rPr>
              <w:t xml:space="preserve"> </w:t>
            </w:r>
            <w:r>
              <w:t>appropriately</w:t>
            </w:r>
            <w:r>
              <w:rPr>
                <w:spacing w:val="-2"/>
              </w:rPr>
              <w:t xml:space="preserve"> </w:t>
            </w:r>
            <w:r>
              <w:t>addressed during the certification process. The Statement</w:t>
            </w:r>
            <w:r>
              <w:rPr>
                <w:spacing w:val="-1"/>
              </w:rPr>
              <w:t xml:space="preserve"> </w:t>
            </w:r>
            <w:r>
              <w:t>of Compliance also serves</w:t>
            </w:r>
            <w:r>
              <w:rPr>
                <w:spacing w:val="-1"/>
              </w:rPr>
              <w:t xml:space="preserve"> </w:t>
            </w:r>
            <w:r>
              <w:t>as a</w:t>
            </w:r>
            <w:r>
              <w:rPr>
                <w:spacing w:val="-1"/>
              </w:rPr>
              <w:t xml:space="preserve"> </w:t>
            </w:r>
            <w:r>
              <w:t>master index</w:t>
            </w:r>
            <w:r>
              <w:rPr>
                <w:spacing w:val="-1"/>
              </w:rPr>
              <w:t xml:space="preserve"> </w:t>
            </w:r>
            <w:r>
              <w:t>to the</w:t>
            </w:r>
            <w:r>
              <w:rPr>
                <w:spacing w:val="-1"/>
              </w:rPr>
              <w:t xml:space="preserve"> </w:t>
            </w:r>
            <w:r>
              <w:t>applicant’s Manual System.</w:t>
            </w:r>
            <w:r>
              <w:rPr>
                <w:spacing w:val="-2"/>
              </w:rPr>
              <w:t xml:space="preserve"> </w:t>
            </w:r>
            <w:r>
              <w:t>The Statement</w:t>
            </w:r>
            <w:r>
              <w:rPr>
                <w:spacing w:val="-1"/>
              </w:rPr>
              <w:t xml:space="preserve"> </w:t>
            </w:r>
            <w:r>
              <w:t xml:space="preserve">of Compliance is an important source document and serves as the applicant’s “roadmap of compliance” during the initial certification process as well as after the certificate is </w:t>
            </w:r>
            <w:r>
              <w:rPr>
                <w:spacing w:val="-2"/>
              </w:rPr>
              <w:t>granted.</w:t>
            </w:r>
          </w:p>
        </w:tc>
      </w:tr>
    </w:tbl>
    <w:p w:rsidR="00A34FCE" w:rsidRDefault="00A34FCE"/>
    <w:tbl>
      <w:tblPr>
        <w:tblStyle w:val="TableGrid"/>
        <w:tblW w:w="10584" w:type="dxa"/>
        <w:tblInd w:w="-365" w:type="dxa"/>
        <w:tblLook w:val="04A0" w:firstRow="1" w:lastRow="0" w:firstColumn="1" w:lastColumn="0" w:noHBand="0" w:noVBand="1"/>
      </w:tblPr>
      <w:tblGrid>
        <w:gridCol w:w="10584"/>
      </w:tblGrid>
      <w:tr w:rsidR="00A34FCE" w:rsidRPr="00F257D5" w:rsidTr="00F257D5">
        <w:trPr>
          <w:trHeight w:val="432"/>
        </w:trPr>
        <w:tc>
          <w:tcPr>
            <w:tcW w:w="10584" w:type="dxa"/>
            <w:shd w:val="clear" w:color="auto" w:fill="DEEAF6" w:themeFill="accent1" w:themeFillTint="33"/>
          </w:tcPr>
          <w:p w:rsidR="00A34FCE" w:rsidRPr="00F257D5" w:rsidRDefault="00F257D5" w:rsidP="00F257D5">
            <w:pPr>
              <w:pStyle w:val="ListParagraph"/>
              <w:numPr>
                <w:ilvl w:val="0"/>
                <w:numId w:val="105"/>
              </w:numPr>
              <w:spacing w:before="61"/>
              <w:rPr>
                <w:b/>
              </w:rPr>
            </w:pPr>
            <w:r w:rsidRPr="00F257D5">
              <w:rPr>
                <w:b/>
              </w:rPr>
              <w:t>Instructions</w:t>
            </w:r>
            <w:r w:rsidRPr="00F257D5">
              <w:rPr>
                <w:b/>
                <w:spacing w:val="-2"/>
              </w:rPr>
              <w:t>:</w:t>
            </w:r>
          </w:p>
        </w:tc>
      </w:tr>
      <w:tr w:rsidR="00F76C44" w:rsidTr="00F76C44">
        <w:tc>
          <w:tcPr>
            <w:tcW w:w="10584" w:type="dxa"/>
          </w:tcPr>
          <w:p w:rsidR="00F76C44" w:rsidRDefault="00F76C44" w:rsidP="00A34FCE">
            <w:pPr>
              <w:spacing w:before="61"/>
              <w:ind w:left="102"/>
              <w:rPr>
                <w:sz w:val="20"/>
              </w:rPr>
            </w:pPr>
            <w:r>
              <w:rPr>
                <w:sz w:val="20"/>
              </w:rPr>
              <w:t>When</w:t>
            </w:r>
            <w:r>
              <w:rPr>
                <w:spacing w:val="-1"/>
                <w:sz w:val="20"/>
              </w:rPr>
              <w:t xml:space="preserve"> </w:t>
            </w:r>
            <w:r>
              <w:rPr>
                <w:sz w:val="20"/>
              </w:rPr>
              <w:t>completing this</w:t>
            </w:r>
            <w:r>
              <w:rPr>
                <w:spacing w:val="-3"/>
                <w:sz w:val="20"/>
              </w:rPr>
              <w:t xml:space="preserve"> </w:t>
            </w:r>
            <w:r>
              <w:rPr>
                <w:sz w:val="20"/>
              </w:rPr>
              <w:t>document,</w:t>
            </w:r>
            <w:r>
              <w:rPr>
                <w:spacing w:val="-1"/>
                <w:sz w:val="20"/>
              </w:rPr>
              <w:t xml:space="preserve"> </w:t>
            </w:r>
            <w:r>
              <w:rPr>
                <w:sz w:val="20"/>
              </w:rPr>
              <w:t>it</w:t>
            </w:r>
            <w:r>
              <w:rPr>
                <w:spacing w:val="-2"/>
                <w:sz w:val="20"/>
              </w:rPr>
              <w:t xml:space="preserve"> </w:t>
            </w:r>
            <w:r>
              <w:rPr>
                <w:sz w:val="20"/>
              </w:rPr>
              <w:t>is</w:t>
            </w:r>
            <w:r>
              <w:rPr>
                <w:spacing w:val="-3"/>
                <w:sz w:val="20"/>
              </w:rPr>
              <w:t xml:space="preserve"> </w:t>
            </w:r>
            <w:r>
              <w:rPr>
                <w:sz w:val="20"/>
              </w:rPr>
              <w:t>important</w:t>
            </w:r>
            <w:r>
              <w:rPr>
                <w:spacing w:val="-2"/>
                <w:sz w:val="20"/>
              </w:rPr>
              <w:t xml:space="preserve"> </w:t>
            </w:r>
            <w:r>
              <w:rPr>
                <w:sz w:val="20"/>
              </w:rPr>
              <w:t>to</w:t>
            </w:r>
            <w:r>
              <w:rPr>
                <w:spacing w:val="-2"/>
                <w:sz w:val="20"/>
              </w:rPr>
              <w:t xml:space="preserve"> </w:t>
            </w:r>
            <w:r>
              <w:rPr>
                <w:sz w:val="20"/>
              </w:rPr>
              <w:t>make</w:t>
            </w:r>
            <w:r>
              <w:rPr>
                <w:spacing w:val="-3"/>
                <w:sz w:val="20"/>
              </w:rPr>
              <w:t xml:space="preserve"> </w:t>
            </w:r>
            <w:r>
              <w:rPr>
                <w:sz w:val="20"/>
              </w:rPr>
              <w:t>a positive</w:t>
            </w:r>
            <w:r>
              <w:rPr>
                <w:spacing w:val="-3"/>
                <w:sz w:val="20"/>
              </w:rPr>
              <w:t xml:space="preserve"> </w:t>
            </w:r>
            <w:r>
              <w:rPr>
                <w:sz w:val="20"/>
              </w:rPr>
              <w:t>statement</w:t>
            </w:r>
            <w:r>
              <w:rPr>
                <w:spacing w:val="-2"/>
                <w:sz w:val="20"/>
              </w:rPr>
              <w:t xml:space="preserve"> </w:t>
            </w:r>
            <w:r>
              <w:rPr>
                <w:sz w:val="20"/>
              </w:rPr>
              <w:t>showing</w:t>
            </w:r>
            <w:r>
              <w:rPr>
                <w:spacing w:val="-2"/>
                <w:sz w:val="20"/>
              </w:rPr>
              <w:t xml:space="preserve"> </w:t>
            </w:r>
            <w:r>
              <w:rPr>
                <w:sz w:val="20"/>
              </w:rPr>
              <w:t>how</w:t>
            </w:r>
            <w:r>
              <w:rPr>
                <w:spacing w:val="-3"/>
                <w:sz w:val="20"/>
              </w:rPr>
              <w:t xml:space="preserve"> </w:t>
            </w:r>
            <w:r>
              <w:rPr>
                <w:sz w:val="20"/>
              </w:rPr>
              <w:t>the</w:t>
            </w:r>
            <w:r>
              <w:rPr>
                <w:spacing w:val="-3"/>
                <w:sz w:val="20"/>
              </w:rPr>
              <w:t xml:space="preserve"> </w:t>
            </w:r>
            <w:r>
              <w:rPr>
                <w:sz w:val="20"/>
              </w:rPr>
              <w:t>applicant</w:t>
            </w:r>
            <w:r>
              <w:rPr>
                <w:spacing w:val="-2"/>
                <w:sz w:val="20"/>
              </w:rPr>
              <w:t xml:space="preserve"> </w:t>
            </w:r>
            <w:r>
              <w:rPr>
                <w:sz w:val="20"/>
              </w:rPr>
              <w:t>complies</w:t>
            </w:r>
            <w:r>
              <w:rPr>
                <w:spacing w:val="-1"/>
                <w:sz w:val="20"/>
              </w:rPr>
              <w:t xml:space="preserve"> </w:t>
            </w:r>
            <w:r>
              <w:rPr>
                <w:sz w:val="20"/>
              </w:rPr>
              <w:t>with</w:t>
            </w:r>
            <w:r>
              <w:rPr>
                <w:spacing w:val="-1"/>
                <w:sz w:val="20"/>
              </w:rPr>
              <w:t xml:space="preserve"> </w:t>
            </w:r>
            <w:r>
              <w:rPr>
                <w:sz w:val="20"/>
              </w:rPr>
              <w:t>any</w:t>
            </w:r>
            <w:r>
              <w:rPr>
                <w:spacing w:val="-1"/>
                <w:sz w:val="20"/>
              </w:rPr>
              <w:t xml:space="preserve"> </w:t>
            </w:r>
            <w:r>
              <w:rPr>
                <w:sz w:val="20"/>
              </w:rPr>
              <w:t>relevant</w:t>
            </w:r>
            <w:r>
              <w:rPr>
                <w:spacing w:val="-2"/>
                <w:sz w:val="20"/>
              </w:rPr>
              <w:t xml:space="preserve"> </w:t>
            </w:r>
            <w:r>
              <w:rPr>
                <w:sz w:val="20"/>
              </w:rPr>
              <w:t>requirement</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column</w:t>
            </w:r>
            <w:r>
              <w:rPr>
                <w:spacing w:val="-1"/>
                <w:sz w:val="20"/>
              </w:rPr>
              <w:t xml:space="preserve"> </w:t>
            </w:r>
            <w:r>
              <w:rPr>
                <w:sz w:val="20"/>
              </w:rPr>
              <w:t>and</w:t>
            </w:r>
            <w:r>
              <w:rPr>
                <w:spacing w:val="-1"/>
                <w:sz w:val="20"/>
              </w:rPr>
              <w:t xml:space="preserve"> </w:t>
            </w:r>
            <w:r>
              <w:rPr>
                <w:sz w:val="20"/>
              </w:rPr>
              <w:t>procedure reference, if any part is not relevant then N/A should be inserted in the column. It should be stated in the comments why the part is not applicable.</w:t>
            </w:r>
          </w:p>
          <w:p w:rsidR="00F76C44" w:rsidRDefault="00F76C44" w:rsidP="00A34FCE">
            <w:pPr>
              <w:spacing w:before="59" w:line="300" w:lineRule="auto"/>
              <w:ind w:left="102" w:right="35"/>
              <w:rPr>
                <w:sz w:val="20"/>
              </w:rPr>
            </w:pPr>
            <w:r>
              <w:rPr>
                <w:sz w:val="20"/>
              </w:rPr>
              <w:t>If</w:t>
            </w:r>
            <w:r>
              <w:rPr>
                <w:spacing w:val="-3"/>
                <w:sz w:val="20"/>
              </w:rPr>
              <w:t xml:space="preserve"> </w:t>
            </w:r>
            <w:r>
              <w:rPr>
                <w:sz w:val="20"/>
              </w:rPr>
              <w:t>additional</w:t>
            </w:r>
            <w:r>
              <w:rPr>
                <w:spacing w:val="-2"/>
                <w:sz w:val="20"/>
              </w:rPr>
              <w:t xml:space="preserve"> </w:t>
            </w:r>
            <w:r>
              <w:rPr>
                <w:sz w:val="20"/>
              </w:rPr>
              <w:t>information</w:t>
            </w:r>
            <w:r>
              <w:rPr>
                <w:spacing w:val="-1"/>
                <w:sz w:val="20"/>
              </w:rPr>
              <w:t xml:space="preserve"> </w:t>
            </w:r>
            <w:r>
              <w:rPr>
                <w:sz w:val="20"/>
              </w:rPr>
              <w:t>is</w:t>
            </w:r>
            <w:r>
              <w:rPr>
                <w:spacing w:val="-3"/>
                <w:sz w:val="20"/>
              </w:rPr>
              <w:t xml:space="preserve"> </w:t>
            </w:r>
            <w:r>
              <w:rPr>
                <w:sz w:val="20"/>
              </w:rPr>
              <w:t>required</w:t>
            </w:r>
            <w:r>
              <w:rPr>
                <w:spacing w:val="-1"/>
                <w:sz w:val="20"/>
              </w:rPr>
              <w:t xml:space="preserve"> </w:t>
            </w:r>
            <w:r>
              <w:rPr>
                <w:sz w:val="20"/>
              </w:rPr>
              <w:t>to</w:t>
            </w:r>
            <w:r>
              <w:rPr>
                <w:spacing w:val="-2"/>
                <w:sz w:val="20"/>
              </w:rPr>
              <w:t xml:space="preserve"> </w:t>
            </w:r>
            <w:r>
              <w:rPr>
                <w:sz w:val="20"/>
              </w:rPr>
              <w:t>demonstrate</w:t>
            </w:r>
            <w:r>
              <w:rPr>
                <w:spacing w:val="-3"/>
                <w:sz w:val="20"/>
              </w:rPr>
              <w:t xml:space="preserve"> </w:t>
            </w:r>
            <w:r>
              <w:rPr>
                <w:sz w:val="20"/>
              </w:rPr>
              <w:t>compliance,</w:t>
            </w:r>
            <w:r>
              <w:rPr>
                <w:spacing w:val="-1"/>
                <w:sz w:val="20"/>
              </w:rPr>
              <w:t xml:space="preserve"> </w:t>
            </w:r>
            <w:r>
              <w:rPr>
                <w:sz w:val="20"/>
              </w:rPr>
              <w:t>please</w:t>
            </w:r>
            <w:r>
              <w:rPr>
                <w:spacing w:val="-3"/>
                <w:sz w:val="20"/>
              </w:rPr>
              <w:t xml:space="preserve"> </w:t>
            </w:r>
            <w:r>
              <w:rPr>
                <w:sz w:val="20"/>
              </w:rPr>
              <w:t>use</w:t>
            </w:r>
            <w:r>
              <w:rPr>
                <w:spacing w:val="-3"/>
                <w:sz w:val="20"/>
              </w:rPr>
              <w:t xml:space="preserve"> </w:t>
            </w:r>
            <w:r>
              <w:rPr>
                <w:sz w:val="20"/>
              </w:rPr>
              <w:t>the space</w:t>
            </w:r>
            <w:r>
              <w:rPr>
                <w:spacing w:val="-3"/>
                <w:sz w:val="20"/>
              </w:rPr>
              <w:t xml:space="preserve"> </w:t>
            </w:r>
            <w:r>
              <w:rPr>
                <w:sz w:val="20"/>
              </w:rPr>
              <w:t>below</w:t>
            </w:r>
            <w:r>
              <w:rPr>
                <w:spacing w:val="-3"/>
                <w:sz w:val="20"/>
              </w:rPr>
              <w:t xml:space="preserve"> </w:t>
            </w:r>
            <w:r>
              <w:rPr>
                <w:sz w:val="20"/>
              </w:rPr>
              <w:t>or</w:t>
            </w:r>
            <w:r>
              <w:rPr>
                <w:spacing w:val="-2"/>
                <w:sz w:val="20"/>
              </w:rPr>
              <w:t xml:space="preserve"> </w:t>
            </w:r>
            <w:r>
              <w:rPr>
                <w:sz w:val="20"/>
              </w:rPr>
              <w:t>attach</w:t>
            </w:r>
            <w:r>
              <w:rPr>
                <w:spacing w:val="-1"/>
                <w:sz w:val="20"/>
              </w:rPr>
              <w:t xml:space="preserve"> </w:t>
            </w:r>
            <w:r>
              <w:rPr>
                <w:sz w:val="20"/>
              </w:rPr>
              <w:t>an</w:t>
            </w:r>
            <w:r>
              <w:rPr>
                <w:spacing w:val="-1"/>
                <w:sz w:val="20"/>
              </w:rPr>
              <w:t xml:space="preserve"> </w:t>
            </w:r>
            <w:r>
              <w:rPr>
                <w:sz w:val="20"/>
              </w:rPr>
              <w:t>appropriately</w:t>
            </w:r>
            <w:r>
              <w:rPr>
                <w:spacing w:val="-3"/>
                <w:sz w:val="20"/>
              </w:rPr>
              <w:t xml:space="preserve"> </w:t>
            </w:r>
            <w:r>
              <w:rPr>
                <w:sz w:val="20"/>
              </w:rPr>
              <w:t>referenced</w:t>
            </w:r>
            <w:r>
              <w:rPr>
                <w:spacing w:val="-1"/>
                <w:sz w:val="20"/>
              </w:rPr>
              <w:t xml:space="preserve"> </w:t>
            </w:r>
            <w:r>
              <w:rPr>
                <w:sz w:val="20"/>
              </w:rPr>
              <w:t>continuation</w:t>
            </w:r>
            <w:r>
              <w:rPr>
                <w:spacing w:val="-1"/>
                <w:sz w:val="20"/>
              </w:rPr>
              <w:t xml:space="preserve"> </w:t>
            </w:r>
            <w:r>
              <w:rPr>
                <w:sz w:val="20"/>
              </w:rPr>
              <w:t xml:space="preserve">sheet. </w:t>
            </w:r>
          </w:p>
          <w:p w:rsidR="00F76C44" w:rsidRDefault="00F76C44" w:rsidP="00A34FCE">
            <w:pPr>
              <w:spacing w:before="59" w:line="300" w:lineRule="auto"/>
              <w:ind w:left="102" w:right="35"/>
              <w:rPr>
                <w:sz w:val="20"/>
              </w:rPr>
            </w:pPr>
            <w:r>
              <w:rPr>
                <w:sz w:val="20"/>
              </w:rPr>
              <w:t>Where the term 'The Owner' is used this also means 'The Operator'. Checklist</w:t>
            </w:r>
            <w:r>
              <w:rPr>
                <w:spacing w:val="-6"/>
                <w:sz w:val="20"/>
              </w:rPr>
              <w:t xml:space="preserve"> </w:t>
            </w:r>
            <w:r>
              <w:rPr>
                <w:sz w:val="20"/>
              </w:rPr>
              <w:t>–</w:t>
            </w:r>
            <w:r>
              <w:rPr>
                <w:spacing w:val="-6"/>
                <w:sz w:val="20"/>
              </w:rPr>
              <w:t xml:space="preserve"> </w:t>
            </w:r>
            <w:r>
              <w:rPr>
                <w:sz w:val="20"/>
              </w:rPr>
              <w:t>2</w:t>
            </w:r>
            <w:r>
              <w:rPr>
                <w:spacing w:val="-5"/>
                <w:sz w:val="20"/>
              </w:rPr>
              <w:t xml:space="preserve"> </w:t>
            </w:r>
            <w:r>
              <w:rPr>
                <w:sz w:val="20"/>
              </w:rPr>
              <w:t>must</w:t>
            </w:r>
            <w:r>
              <w:rPr>
                <w:spacing w:val="-5"/>
                <w:sz w:val="20"/>
              </w:rPr>
              <w:t xml:space="preserve"> </w:t>
            </w:r>
            <w:r>
              <w:rPr>
                <w:sz w:val="20"/>
              </w:rPr>
              <w:t>be</w:t>
            </w:r>
            <w:r>
              <w:rPr>
                <w:spacing w:val="-6"/>
                <w:sz w:val="20"/>
              </w:rPr>
              <w:t xml:space="preserve"> </w:t>
            </w:r>
            <w:r>
              <w:rPr>
                <w:sz w:val="20"/>
              </w:rPr>
              <w:t>completed</w:t>
            </w:r>
            <w:r>
              <w:rPr>
                <w:spacing w:val="-4"/>
                <w:sz w:val="20"/>
              </w:rPr>
              <w:t xml:space="preserve"> </w:t>
            </w:r>
            <w:r>
              <w:rPr>
                <w:sz w:val="20"/>
              </w:rPr>
              <w:t>as</w:t>
            </w:r>
            <w:r>
              <w:rPr>
                <w:spacing w:val="-6"/>
                <w:sz w:val="20"/>
              </w:rPr>
              <w:t xml:space="preserve"> </w:t>
            </w:r>
            <w:r>
              <w:rPr>
                <w:sz w:val="20"/>
              </w:rPr>
              <w:t>it</w:t>
            </w:r>
            <w:r>
              <w:rPr>
                <w:spacing w:val="-5"/>
                <w:sz w:val="20"/>
              </w:rPr>
              <w:t xml:space="preserve"> </w:t>
            </w:r>
            <w:r>
              <w:rPr>
                <w:sz w:val="20"/>
              </w:rPr>
              <w:t>covers</w:t>
            </w:r>
            <w:r>
              <w:rPr>
                <w:spacing w:val="-6"/>
                <w:sz w:val="20"/>
              </w:rPr>
              <w:t xml:space="preserve"> </w:t>
            </w:r>
            <w:r>
              <w:rPr>
                <w:sz w:val="20"/>
              </w:rPr>
              <w:t>the</w:t>
            </w:r>
            <w:r>
              <w:rPr>
                <w:spacing w:val="-3"/>
                <w:sz w:val="20"/>
              </w:rPr>
              <w:t xml:space="preserve"> </w:t>
            </w:r>
            <w:r>
              <w:rPr>
                <w:sz w:val="20"/>
              </w:rPr>
              <w:t>further</w:t>
            </w:r>
            <w:r>
              <w:rPr>
                <w:spacing w:val="-6"/>
                <w:sz w:val="20"/>
              </w:rPr>
              <w:t xml:space="preserve"> </w:t>
            </w:r>
            <w:r>
              <w:rPr>
                <w:sz w:val="20"/>
              </w:rPr>
              <w:t>compliance</w:t>
            </w:r>
            <w:r>
              <w:rPr>
                <w:spacing w:val="-6"/>
                <w:sz w:val="20"/>
              </w:rPr>
              <w:t xml:space="preserve"> </w:t>
            </w:r>
            <w:r>
              <w:rPr>
                <w:sz w:val="20"/>
              </w:rPr>
              <w:t>requirements</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SMM</w:t>
            </w:r>
            <w:r>
              <w:rPr>
                <w:spacing w:val="-3"/>
                <w:sz w:val="20"/>
              </w:rPr>
              <w:t xml:space="preserve"> </w:t>
            </w:r>
            <w:r>
              <w:rPr>
                <w:spacing w:val="-2"/>
                <w:sz w:val="20"/>
              </w:rPr>
              <w:t>manual.</w:t>
            </w:r>
          </w:p>
          <w:p w:rsidR="00F76C44" w:rsidRDefault="00F76C44" w:rsidP="00A34FCE">
            <w:pPr>
              <w:spacing w:before="60"/>
              <w:ind w:left="102"/>
              <w:rPr>
                <w:sz w:val="20"/>
              </w:rPr>
            </w:pPr>
            <w:r>
              <w:rPr>
                <w:sz w:val="20"/>
              </w:rPr>
              <w:t>Checklist</w:t>
            </w:r>
            <w:r>
              <w:rPr>
                <w:spacing w:val="-6"/>
                <w:sz w:val="20"/>
              </w:rPr>
              <w:t xml:space="preserve"> </w:t>
            </w:r>
            <w:r>
              <w:rPr>
                <w:sz w:val="20"/>
              </w:rPr>
              <w:t>–</w:t>
            </w:r>
            <w:r>
              <w:rPr>
                <w:spacing w:val="-5"/>
                <w:sz w:val="20"/>
              </w:rPr>
              <w:t xml:space="preserve"> </w:t>
            </w:r>
            <w:r>
              <w:rPr>
                <w:sz w:val="20"/>
              </w:rPr>
              <w:t>3</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used</w:t>
            </w:r>
            <w:r>
              <w:rPr>
                <w:spacing w:val="-5"/>
                <w:sz w:val="20"/>
              </w:rPr>
              <w:t xml:space="preserve"> </w:t>
            </w:r>
            <w:r>
              <w:rPr>
                <w:sz w:val="20"/>
              </w:rPr>
              <w:t>by</w:t>
            </w:r>
            <w:r>
              <w:rPr>
                <w:spacing w:val="-4"/>
                <w:sz w:val="20"/>
              </w:rPr>
              <w:t xml:space="preserve"> </w:t>
            </w:r>
            <w:r>
              <w:rPr>
                <w:sz w:val="20"/>
              </w:rPr>
              <w:t>the</w:t>
            </w:r>
            <w:r>
              <w:rPr>
                <w:spacing w:val="-6"/>
                <w:sz w:val="20"/>
              </w:rPr>
              <w:t xml:space="preserve"> </w:t>
            </w:r>
            <w:r>
              <w:rPr>
                <w:sz w:val="20"/>
              </w:rPr>
              <w:t>Inspectors</w:t>
            </w:r>
            <w:r>
              <w:rPr>
                <w:spacing w:val="-6"/>
                <w:sz w:val="20"/>
              </w:rPr>
              <w:t xml:space="preserve"> </w:t>
            </w:r>
            <w:r>
              <w:rPr>
                <w:sz w:val="20"/>
              </w:rPr>
              <w:t>to</w:t>
            </w:r>
            <w:r>
              <w:rPr>
                <w:spacing w:val="-5"/>
                <w:sz w:val="20"/>
              </w:rPr>
              <w:t xml:space="preserve"> </w:t>
            </w:r>
            <w:r>
              <w:rPr>
                <w:sz w:val="20"/>
              </w:rPr>
              <w:t>assess</w:t>
            </w:r>
            <w:r>
              <w:rPr>
                <w:spacing w:val="-6"/>
                <w:sz w:val="20"/>
              </w:rPr>
              <w:t xml:space="preserve"> </w:t>
            </w:r>
            <w:r>
              <w:rPr>
                <w:sz w:val="20"/>
              </w:rPr>
              <w:t>the</w:t>
            </w:r>
            <w:r>
              <w:rPr>
                <w:spacing w:val="-5"/>
                <w:sz w:val="20"/>
              </w:rPr>
              <w:t xml:space="preserve"> </w:t>
            </w:r>
            <w:r>
              <w:rPr>
                <w:sz w:val="20"/>
              </w:rPr>
              <w:t>integrity,</w:t>
            </w:r>
            <w:r>
              <w:rPr>
                <w:spacing w:val="-5"/>
                <w:sz w:val="20"/>
              </w:rPr>
              <w:t xml:space="preserve"> </w:t>
            </w:r>
            <w:r>
              <w:rPr>
                <w:sz w:val="20"/>
              </w:rPr>
              <w:t>continuity,</w:t>
            </w:r>
            <w:r>
              <w:rPr>
                <w:spacing w:val="-4"/>
                <w:sz w:val="20"/>
              </w:rPr>
              <w:t xml:space="preserve"> </w:t>
            </w:r>
            <w:r>
              <w:rPr>
                <w:sz w:val="20"/>
              </w:rPr>
              <w:t>maturity</w:t>
            </w:r>
            <w:r>
              <w:rPr>
                <w:spacing w:val="-4"/>
                <w:sz w:val="20"/>
              </w:rPr>
              <w:t xml:space="preserve"> </w:t>
            </w:r>
            <w:r>
              <w:rPr>
                <w:sz w:val="20"/>
              </w:rPr>
              <w:t>and</w:t>
            </w:r>
            <w:r>
              <w:rPr>
                <w:spacing w:val="-4"/>
                <w:sz w:val="20"/>
              </w:rPr>
              <w:t xml:space="preserve"> </w:t>
            </w:r>
            <w:r>
              <w:rPr>
                <w:sz w:val="20"/>
              </w:rPr>
              <w:t>effectiveness</w:t>
            </w:r>
            <w:r>
              <w:rPr>
                <w:spacing w:val="-6"/>
                <w:sz w:val="20"/>
              </w:rPr>
              <w:t xml:space="preserve"> </w:t>
            </w:r>
            <w:r>
              <w:rPr>
                <w:sz w:val="20"/>
              </w:rPr>
              <w:t>of</w:t>
            </w:r>
            <w:r>
              <w:rPr>
                <w:spacing w:val="-6"/>
                <w:sz w:val="20"/>
              </w:rPr>
              <w:t xml:space="preserve"> </w:t>
            </w:r>
            <w:r>
              <w:rPr>
                <w:sz w:val="20"/>
              </w:rPr>
              <w:t>the</w:t>
            </w:r>
            <w:r>
              <w:rPr>
                <w:spacing w:val="-3"/>
                <w:sz w:val="20"/>
              </w:rPr>
              <w:t xml:space="preserve"> </w:t>
            </w:r>
            <w:r>
              <w:rPr>
                <w:sz w:val="20"/>
              </w:rPr>
              <w:t>SMS</w:t>
            </w:r>
            <w:r>
              <w:rPr>
                <w:spacing w:val="-3"/>
                <w:sz w:val="20"/>
              </w:rPr>
              <w:t xml:space="preserve"> </w:t>
            </w:r>
            <w:r>
              <w:rPr>
                <w:sz w:val="20"/>
              </w:rPr>
              <w:t>systems</w:t>
            </w:r>
            <w:r>
              <w:rPr>
                <w:spacing w:val="-6"/>
                <w:sz w:val="20"/>
              </w:rPr>
              <w:t xml:space="preserve"> </w:t>
            </w:r>
            <w:r>
              <w:rPr>
                <w:sz w:val="20"/>
              </w:rPr>
              <w:t>and</w:t>
            </w:r>
            <w:r>
              <w:rPr>
                <w:spacing w:val="-4"/>
                <w:sz w:val="20"/>
              </w:rPr>
              <w:t xml:space="preserve"> </w:t>
            </w:r>
            <w:r>
              <w:rPr>
                <w:spacing w:val="-2"/>
                <w:sz w:val="20"/>
              </w:rPr>
              <w:t>procedures.</w:t>
            </w:r>
          </w:p>
          <w:p w:rsidR="00F76C44" w:rsidRDefault="00F76C44" w:rsidP="00A34FCE">
            <w:pPr>
              <w:spacing w:before="59"/>
              <w:ind w:left="102"/>
              <w:rPr>
                <w:sz w:val="20"/>
              </w:rPr>
            </w:pPr>
            <w:r>
              <w:rPr>
                <w:sz w:val="20"/>
              </w:rPr>
              <w:t>The</w:t>
            </w:r>
            <w:r>
              <w:rPr>
                <w:spacing w:val="15"/>
                <w:sz w:val="20"/>
              </w:rPr>
              <w:t xml:space="preserve"> </w:t>
            </w:r>
            <w:r>
              <w:rPr>
                <w:sz w:val="20"/>
              </w:rPr>
              <w:t>Accountable</w:t>
            </w:r>
            <w:r>
              <w:rPr>
                <w:spacing w:val="15"/>
                <w:sz w:val="20"/>
              </w:rPr>
              <w:t xml:space="preserve"> </w:t>
            </w:r>
            <w:r>
              <w:rPr>
                <w:sz w:val="20"/>
              </w:rPr>
              <w:t>Person</w:t>
            </w:r>
            <w:r>
              <w:rPr>
                <w:spacing w:val="17"/>
                <w:sz w:val="20"/>
              </w:rPr>
              <w:t xml:space="preserve"> </w:t>
            </w:r>
            <w:r>
              <w:rPr>
                <w:sz w:val="20"/>
              </w:rPr>
              <w:t>completing</w:t>
            </w:r>
            <w:r>
              <w:rPr>
                <w:spacing w:val="15"/>
                <w:sz w:val="20"/>
              </w:rPr>
              <w:t xml:space="preserve"> </w:t>
            </w:r>
            <w:r>
              <w:rPr>
                <w:sz w:val="20"/>
              </w:rPr>
              <w:t>this</w:t>
            </w:r>
            <w:r>
              <w:rPr>
                <w:spacing w:val="15"/>
                <w:sz w:val="20"/>
              </w:rPr>
              <w:t xml:space="preserve"> </w:t>
            </w:r>
            <w:r>
              <w:rPr>
                <w:sz w:val="20"/>
              </w:rPr>
              <w:t>form</w:t>
            </w:r>
            <w:r>
              <w:rPr>
                <w:spacing w:val="15"/>
                <w:sz w:val="20"/>
              </w:rPr>
              <w:t xml:space="preserve"> </w:t>
            </w:r>
            <w:r>
              <w:rPr>
                <w:sz w:val="20"/>
              </w:rPr>
              <w:t>is</w:t>
            </w:r>
            <w:r>
              <w:rPr>
                <w:spacing w:val="15"/>
                <w:sz w:val="20"/>
              </w:rPr>
              <w:t xml:space="preserve"> </w:t>
            </w:r>
            <w:r>
              <w:rPr>
                <w:sz w:val="20"/>
              </w:rPr>
              <w:t>required</w:t>
            </w:r>
            <w:r>
              <w:rPr>
                <w:spacing w:val="17"/>
                <w:sz w:val="20"/>
              </w:rPr>
              <w:t xml:space="preserve"> </w:t>
            </w:r>
            <w:r>
              <w:rPr>
                <w:sz w:val="20"/>
              </w:rPr>
              <w:t>Name,</w:t>
            </w:r>
            <w:r>
              <w:rPr>
                <w:spacing w:val="16"/>
                <w:sz w:val="20"/>
              </w:rPr>
              <w:t xml:space="preserve"> </w:t>
            </w:r>
            <w:r>
              <w:rPr>
                <w:sz w:val="20"/>
              </w:rPr>
              <w:t>Sign</w:t>
            </w:r>
            <w:r>
              <w:rPr>
                <w:spacing w:val="17"/>
                <w:sz w:val="20"/>
              </w:rPr>
              <w:t xml:space="preserve"> </w:t>
            </w:r>
            <w:r>
              <w:rPr>
                <w:sz w:val="20"/>
              </w:rPr>
              <w:t>and date</w:t>
            </w:r>
            <w:r>
              <w:rPr>
                <w:spacing w:val="15"/>
                <w:sz w:val="20"/>
              </w:rPr>
              <w:t xml:space="preserve"> </w:t>
            </w:r>
            <w:r>
              <w:rPr>
                <w:sz w:val="20"/>
              </w:rPr>
              <w:t>to Certify</w:t>
            </w:r>
            <w:r>
              <w:rPr>
                <w:spacing w:val="17"/>
                <w:sz w:val="20"/>
              </w:rPr>
              <w:t xml:space="preserve"> </w:t>
            </w:r>
            <w:r>
              <w:rPr>
                <w:sz w:val="20"/>
              </w:rPr>
              <w:t>that Operation</w:t>
            </w:r>
            <w:r>
              <w:rPr>
                <w:spacing w:val="17"/>
                <w:sz w:val="20"/>
              </w:rPr>
              <w:t xml:space="preserve"> </w:t>
            </w:r>
            <w:r>
              <w:rPr>
                <w:sz w:val="20"/>
              </w:rPr>
              <w:t>Manuals</w:t>
            </w:r>
            <w:r>
              <w:rPr>
                <w:spacing w:val="15"/>
                <w:sz w:val="20"/>
              </w:rPr>
              <w:t xml:space="preserve"> </w:t>
            </w:r>
            <w:proofErr w:type="gramStart"/>
            <w:r>
              <w:rPr>
                <w:sz w:val="20"/>
              </w:rPr>
              <w:t>are</w:t>
            </w:r>
            <w:r>
              <w:rPr>
                <w:spacing w:val="15"/>
                <w:sz w:val="20"/>
              </w:rPr>
              <w:t xml:space="preserve"> </w:t>
            </w:r>
            <w:r>
              <w:rPr>
                <w:sz w:val="20"/>
              </w:rPr>
              <w:t>in</w:t>
            </w:r>
            <w:r>
              <w:rPr>
                <w:spacing w:val="17"/>
                <w:sz w:val="20"/>
              </w:rPr>
              <w:t xml:space="preserve"> </w:t>
            </w:r>
            <w:r>
              <w:rPr>
                <w:sz w:val="20"/>
              </w:rPr>
              <w:t>compliance</w:t>
            </w:r>
            <w:r>
              <w:rPr>
                <w:spacing w:val="15"/>
                <w:sz w:val="20"/>
              </w:rPr>
              <w:t xml:space="preserve"> </w:t>
            </w:r>
            <w:r>
              <w:rPr>
                <w:sz w:val="20"/>
              </w:rPr>
              <w:t>with</w:t>
            </w:r>
            <w:proofErr w:type="gramEnd"/>
            <w:r>
              <w:rPr>
                <w:spacing w:val="17"/>
                <w:sz w:val="20"/>
              </w:rPr>
              <w:t xml:space="preserve"> </w:t>
            </w:r>
            <w:r>
              <w:rPr>
                <w:sz w:val="20"/>
              </w:rPr>
              <w:t>Civil</w:t>
            </w:r>
            <w:r>
              <w:rPr>
                <w:spacing w:val="16"/>
                <w:sz w:val="20"/>
              </w:rPr>
              <w:t xml:space="preserve"> </w:t>
            </w:r>
            <w:r>
              <w:rPr>
                <w:sz w:val="20"/>
              </w:rPr>
              <w:t>Aviation</w:t>
            </w:r>
            <w:r>
              <w:rPr>
                <w:spacing w:val="17"/>
                <w:sz w:val="20"/>
              </w:rPr>
              <w:t xml:space="preserve"> </w:t>
            </w:r>
            <w:r>
              <w:rPr>
                <w:sz w:val="20"/>
              </w:rPr>
              <w:t>laws</w:t>
            </w:r>
            <w:r>
              <w:rPr>
                <w:spacing w:val="15"/>
                <w:sz w:val="20"/>
              </w:rPr>
              <w:t xml:space="preserve"> </w:t>
            </w:r>
            <w:r>
              <w:rPr>
                <w:sz w:val="20"/>
              </w:rPr>
              <w:t xml:space="preserve">and Regulations </w:t>
            </w:r>
            <w:r>
              <w:rPr>
                <w:spacing w:val="-2"/>
                <w:sz w:val="20"/>
              </w:rPr>
              <w:t>(CARs).</w:t>
            </w:r>
          </w:p>
          <w:p w:rsidR="00F76C44" w:rsidRDefault="00F76C44" w:rsidP="00A34FCE">
            <w:pPr>
              <w:spacing w:before="120"/>
              <w:ind w:left="102"/>
              <w:rPr>
                <w:sz w:val="20"/>
              </w:rPr>
            </w:pPr>
            <w:r>
              <w:rPr>
                <w:sz w:val="20"/>
              </w:rPr>
              <w:t>Inspector(s)</w:t>
            </w:r>
            <w:r>
              <w:rPr>
                <w:spacing w:val="-6"/>
                <w:sz w:val="20"/>
              </w:rPr>
              <w:t xml:space="preserve"> </w:t>
            </w:r>
            <w:r>
              <w:rPr>
                <w:sz w:val="20"/>
              </w:rPr>
              <w:t>to</w:t>
            </w:r>
            <w:r>
              <w:rPr>
                <w:spacing w:val="-6"/>
                <w:sz w:val="20"/>
              </w:rPr>
              <w:t xml:space="preserve"> </w:t>
            </w:r>
            <w:r>
              <w:rPr>
                <w:sz w:val="20"/>
              </w:rPr>
              <w:t>fill</w:t>
            </w:r>
            <w:r>
              <w:rPr>
                <w:spacing w:val="-6"/>
                <w:sz w:val="20"/>
              </w:rPr>
              <w:t xml:space="preserve"> </w:t>
            </w:r>
            <w:r>
              <w:rPr>
                <w:sz w:val="20"/>
              </w:rPr>
              <w:t>column</w:t>
            </w:r>
            <w:r>
              <w:rPr>
                <w:spacing w:val="-5"/>
                <w:sz w:val="20"/>
              </w:rPr>
              <w:t xml:space="preserve"> </w:t>
            </w:r>
            <w:r>
              <w:rPr>
                <w:sz w:val="20"/>
              </w:rPr>
              <w:t>S/US</w:t>
            </w:r>
            <w:r>
              <w:rPr>
                <w:spacing w:val="-5"/>
                <w:sz w:val="20"/>
              </w:rPr>
              <w:t xml:space="preserve"> </w:t>
            </w:r>
            <w:r>
              <w:rPr>
                <w:sz w:val="20"/>
              </w:rPr>
              <w:t>column</w:t>
            </w:r>
            <w:r>
              <w:rPr>
                <w:spacing w:val="-5"/>
                <w:sz w:val="20"/>
              </w:rPr>
              <w:t xml:space="preserve"> </w:t>
            </w:r>
            <w:r>
              <w:rPr>
                <w:sz w:val="20"/>
              </w:rPr>
              <w:t>(</w:t>
            </w:r>
            <w:r>
              <w:rPr>
                <w:b/>
                <w:sz w:val="20"/>
              </w:rPr>
              <w:t>S</w:t>
            </w:r>
            <w:r>
              <w:rPr>
                <w:b/>
                <w:spacing w:val="-7"/>
                <w:sz w:val="20"/>
              </w:rPr>
              <w:t xml:space="preserve"> </w:t>
            </w:r>
            <w:r>
              <w:rPr>
                <w:b/>
                <w:sz w:val="20"/>
              </w:rPr>
              <w:t>-</w:t>
            </w:r>
            <w:r>
              <w:rPr>
                <w:b/>
                <w:spacing w:val="-5"/>
                <w:sz w:val="20"/>
              </w:rPr>
              <w:t xml:space="preserve"> </w:t>
            </w:r>
            <w:r>
              <w:rPr>
                <w:b/>
                <w:sz w:val="20"/>
              </w:rPr>
              <w:t>satisfactory;</w:t>
            </w:r>
            <w:r>
              <w:rPr>
                <w:b/>
                <w:spacing w:val="-6"/>
                <w:sz w:val="20"/>
              </w:rPr>
              <w:t xml:space="preserve"> </w:t>
            </w:r>
            <w:r>
              <w:rPr>
                <w:b/>
                <w:sz w:val="20"/>
              </w:rPr>
              <w:t>US</w:t>
            </w:r>
            <w:r>
              <w:rPr>
                <w:b/>
                <w:spacing w:val="-4"/>
                <w:sz w:val="20"/>
              </w:rPr>
              <w:t xml:space="preserve"> </w:t>
            </w:r>
            <w:r>
              <w:rPr>
                <w:b/>
                <w:sz w:val="20"/>
              </w:rPr>
              <w:t>-</w:t>
            </w:r>
            <w:r>
              <w:rPr>
                <w:b/>
                <w:spacing w:val="-6"/>
                <w:sz w:val="20"/>
              </w:rPr>
              <w:t xml:space="preserve"> </w:t>
            </w:r>
            <w:r>
              <w:rPr>
                <w:b/>
                <w:sz w:val="20"/>
              </w:rPr>
              <w:t>*unsatisfactory</w:t>
            </w:r>
            <w:r>
              <w:rPr>
                <w:b/>
                <w:spacing w:val="-7"/>
                <w:sz w:val="20"/>
              </w:rPr>
              <w:t>;</w:t>
            </w:r>
            <w:r>
              <w:rPr>
                <w:b/>
                <w:spacing w:val="-6"/>
                <w:sz w:val="20"/>
              </w:rPr>
              <w:t xml:space="preserve"> </w:t>
            </w:r>
            <w:r>
              <w:rPr>
                <w:b/>
                <w:sz w:val="20"/>
              </w:rPr>
              <w:t>N/A-Not</w:t>
            </w:r>
            <w:r>
              <w:rPr>
                <w:b/>
                <w:spacing w:val="-6"/>
                <w:sz w:val="20"/>
              </w:rPr>
              <w:t xml:space="preserve"> </w:t>
            </w:r>
            <w:r>
              <w:rPr>
                <w:b/>
                <w:spacing w:val="-2"/>
                <w:sz w:val="20"/>
              </w:rPr>
              <w:t>applicable</w:t>
            </w:r>
            <w:r>
              <w:rPr>
                <w:spacing w:val="-2"/>
                <w:sz w:val="20"/>
              </w:rPr>
              <w:t>).</w:t>
            </w:r>
          </w:p>
          <w:p w:rsidR="00F76C44" w:rsidRDefault="00F76C44" w:rsidP="00A34FCE">
            <w:pPr>
              <w:spacing w:before="120" w:after="120"/>
              <w:ind w:left="733" w:hanging="631"/>
              <w:rPr>
                <w:i/>
                <w:sz w:val="20"/>
              </w:rPr>
            </w:pPr>
            <w:r>
              <w:rPr>
                <w:b/>
                <w:i/>
                <w:sz w:val="20"/>
              </w:rPr>
              <w:t xml:space="preserve">*Note: </w:t>
            </w:r>
            <w:r>
              <w:rPr>
                <w:i/>
                <w:sz w:val="20"/>
              </w:rPr>
              <w:t>If unsatisfactory, Inspector(s) shall mark the box not approve, complete and sign the deficiency form Deficiency and Review Checklist (AOC-109), to pass onto the operator for corrective action.</w:t>
            </w:r>
          </w:p>
          <w:p w:rsidR="00F76C44" w:rsidRPr="00723FA9" w:rsidRDefault="00F76C44" w:rsidP="00A34FCE">
            <w:pPr>
              <w:spacing w:before="120" w:after="120"/>
              <w:ind w:left="1351" w:hanging="631"/>
            </w:pPr>
            <w:r>
              <w:rPr>
                <w:i/>
                <w:sz w:val="20"/>
              </w:rPr>
              <w:t xml:space="preserve"> A signed copy must be retained in FSD for records with the review number/Version.</w:t>
            </w:r>
          </w:p>
        </w:tc>
      </w:tr>
      <w:tr w:rsidR="00F76C44" w:rsidRPr="00615625" w:rsidTr="00F76C44">
        <w:trPr>
          <w:trHeight w:val="864"/>
        </w:trPr>
        <w:tc>
          <w:tcPr>
            <w:tcW w:w="10584" w:type="dxa"/>
          </w:tcPr>
          <w:p w:rsidR="00F76C44" w:rsidRPr="00615625" w:rsidRDefault="00F76C44" w:rsidP="00A34FCE">
            <w:pPr>
              <w:spacing w:before="240" w:after="240"/>
              <w:jc w:val="center"/>
              <w:rPr>
                <w:rFonts w:cstheme="minorHAnsi"/>
                <w:b/>
                <w:bCs/>
                <w:color w:val="333333"/>
                <w:shd w:val="clear" w:color="auto" w:fill="FFFFFF"/>
              </w:rPr>
            </w:pPr>
            <w:r w:rsidRPr="00615625">
              <w:rPr>
                <w:rFonts w:cstheme="minorHAnsi"/>
                <w:b/>
                <w:bCs/>
              </w:rPr>
              <w:t>APPROVAL</w:t>
            </w:r>
            <w:r w:rsidRPr="00615625">
              <w:rPr>
                <w:rFonts w:cstheme="minorHAnsi"/>
                <w:b/>
                <w:bCs/>
                <w:spacing w:val="45"/>
              </w:rPr>
              <w:t xml:space="preserve"> </w:t>
            </w:r>
            <w:r w:rsidRPr="00615625">
              <w:rPr>
                <w:rFonts w:cstheme="minorHAnsi"/>
                <w:b/>
                <w:bCs/>
              </w:rPr>
              <w:t>FOR</w:t>
            </w:r>
            <w:r w:rsidRPr="00615625">
              <w:rPr>
                <w:rFonts w:cstheme="minorHAnsi"/>
                <w:b/>
                <w:bCs/>
              </w:rPr>
              <w:tab/>
            </w:r>
            <w:r w:rsidRPr="00615625">
              <w:rPr>
                <w:rFonts w:ascii="Segoe UI Symbol" w:hAnsi="Segoe UI Symbol" w:cs="Segoe UI Symbol"/>
                <w:b/>
                <w:bCs/>
              </w:rPr>
              <w:t>☐</w:t>
            </w:r>
            <w:r w:rsidRPr="00615625">
              <w:rPr>
                <w:rFonts w:cstheme="minorHAnsi"/>
                <w:b/>
                <w:bCs/>
                <w:spacing w:val="31"/>
              </w:rPr>
              <w:t xml:space="preserve"> </w:t>
            </w:r>
            <w:r w:rsidRPr="00615625">
              <w:rPr>
                <w:rFonts w:cstheme="minorHAnsi"/>
                <w:b/>
                <w:bCs/>
              </w:rPr>
              <w:t>INITIAL</w:t>
            </w:r>
            <w:r w:rsidRPr="00615625">
              <w:rPr>
                <w:rFonts w:cstheme="minorHAnsi"/>
                <w:b/>
                <w:bCs/>
                <w:spacing w:val="43"/>
              </w:rPr>
              <w:t xml:space="preserve"> </w:t>
            </w:r>
            <w:r w:rsidRPr="00615625">
              <w:rPr>
                <w:rFonts w:cstheme="minorHAnsi"/>
                <w:b/>
                <w:bCs/>
              </w:rPr>
              <w:t>ISSUE*</w:t>
            </w:r>
            <w:r w:rsidRPr="00615625">
              <w:rPr>
                <w:rFonts w:cstheme="minorHAnsi"/>
                <w:b/>
                <w:bCs/>
                <w:spacing w:val="45"/>
              </w:rPr>
              <w:t xml:space="preserve"> </w:t>
            </w:r>
            <w:r w:rsidRPr="00615625">
              <w:rPr>
                <w:rFonts w:cstheme="minorHAnsi"/>
                <w:b/>
                <w:bCs/>
              </w:rPr>
              <w:t xml:space="preserve">/    </w:t>
            </w:r>
            <w:r w:rsidRPr="00615625">
              <w:rPr>
                <w:rFonts w:cstheme="minorHAnsi"/>
                <w:b/>
                <w:bCs/>
                <w:spacing w:val="16"/>
              </w:rPr>
              <w:t xml:space="preserve"> </w:t>
            </w:r>
            <w:r w:rsidRPr="00615625">
              <w:rPr>
                <w:rFonts w:ascii="Segoe UI Symbol" w:hAnsi="Segoe UI Symbol" w:cs="Segoe UI Symbol"/>
                <w:b/>
                <w:bCs/>
              </w:rPr>
              <w:t>☐</w:t>
            </w:r>
            <w:r w:rsidRPr="00615625">
              <w:rPr>
                <w:rFonts w:cstheme="minorHAnsi"/>
                <w:b/>
                <w:bCs/>
              </w:rPr>
              <w:t xml:space="preserve">   </w:t>
            </w:r>
            <w:r w:rsidRPr="00615625">
              <w:rPr>
                <w:rFonts w:cstheme="minorHAnsi"/>
                <w:b/>
                <w:bCs/>
                <w:spacing w:val="18"/>
              </w:rPr>
              <w:t xml:space="preserve"> </w:t>
            </w:r>
            <w:r w:rsidRPr="00615625">
              <w:rPr>
                <w:rFonts w:cstheme="minorHAnsi"/>
                <w:b/>
                <w:bCs/>
              </w:rPr>
              <w:t>AMENDMENT*</w:t>
            </w:r>
            <w:r w:rsidRPr="00615625">
              <w:rPr>
                <w:rFonts w:cstheme="minorHAnsi"/>
                <w:b/>
                <w:bCs/>
                <w:spacing w:val="46"/>
              </w:rPr>
              <w:t xml:space="preserve"> </w:t>
            </w:r>
            <w:r w:rsidRPr="00615625">
              <w:rPr>
                <w:rFonts w:cstheme="minorHAnsi"/>
                <w:b/>
                <w:bCs/>
              </w:rPr>
              <w:t>OF</w:t>
            </w:r>
            <w:r w:rsidRPr="00615625">
              <w:rPr>
                <w:rFonts w:cstheme="minorHAnsi"/>
                <w:b/>
                <w:bCs/>
                <w:spacing w:val="45"/>
              </w:rPr>
              <w:t xml:space="preserve"> </w:t>
            </w:r>
            <w:r w:rsidRPr="00615625">
              <w:rPr>
                <w:rFonts w:cstheme="minorHAnsi"/>
                <w:b/>
                <w:bCs/>
              </w:rPr>
              <w:t>MANUALS</w:t>
            </w:r>
          </w:p>
        </w:tc>
      </w:tr>
    </w:tbl>
    <w:p w:rsidR="007C5D53" w:rsidRDefault="007C5D53"/>
    <w:tbl>
      <w:tblPr>
        <w:tblStyle w:val="TableGrid"/>
        <w:tblW w:w="5155" w:type="pct"/>
        <w:tblInd w:w="-365" w:type="dxa"/>
        <w:tblLook w:val="04A0" w:firstRow="1" w:lastRow="0" w:firstColumn="1" w:lastColumn="0" w:noHBand="0" w:noVBand="1"/>
      </w:tblPr>
      <w:tblGrid>
        <w:gridCol w:w="4772"/>
        <w:gridCol w:w="5847"/>
      </w:tblGrid>
      <w:tr w:rsidR="007C5D53" w:rsidRPr="00615625" w:rsidTr="007C5D53">
        <w:trPr>
          <w:trHeight w:val="432"/>
        </w:trPr>
        <w:tc>
          <w:tcPr>
            <w:tcW w:w="5000" w:type="pct"/>
            <w:gridSpan w:val="2"/>
            <w:shd w:val="clear" w:color="auto" w:fill="DEEAF6" w:themeFill="accent1" w:themeFillTint="33"/>
            <w:vAlign w:val="center"/>
          </w:tcPr>
          <w:p w:rsidR="007C5D53" w:rsidRPr="00615625" w:rsidRDefault="007C5D53" w:rsidP="00A34FCE">
            <w:pPr>
              <w:rPr>
                <w:rFonts w:cstheme="minorHAnsi"/>
                <w:color w:val="333333"/>
                <w:shd w:val="clear" w:color="auto" w:fill="FFFFFF"/>
              </w:rPr>
            </w:pPr>
            <w:r w:rsidRPr="00615625">
              <w:rPr>
                <w:rFonts w:cstheme="minorHAnsi"/>
                <w:b/>
              </w:rPr>
              <w:t>C.</w:t>
            </w:r>
            <w:r w:rsidRPr="00615625">
              <w:rPr>
                <w:rFonts w:cstheme="minorHAnsi"/>
                <w:b/>
                <w:spacing w:val="74"/>
              </w:rPr>
              <w:t xml:space="preserve"> </w:t>
            </w:r>
            <w:r w:rsidRPr="00615625">
              <w:rPr>
                <w:rFonts w:cstheme="minorHAnsi"/>
                <w:b/>
              </w:rPr>
              <w:t>Organisation</w:t>
            </w:r>
            <w:r>
              <w:rPr>
                <w:rFonts w:cstheme="minorHAnsi"/>
                <w:b/>
              </w:rPr>
              <w:t>/Operator’s</w:t>
            </w:r>
            <w:r w:rsidRPr="00615625">
              <w:rPr>
                <w:rFonts w:cstheme="minorHAnsi"/>
                <w:b/>
              </w:rPr>
              <w:t xml:space="preserve"> Details</w:t>
            </w:r>
          </w:p>
        </w:tc>
      </w:tr>
      <w:tr w:rsidR="007C5D53" w:rsidRPr="00615625" w:rsidTr="007C5D53">
        <w:trPr>
          <w:trHeight w:val="432"/>
        </w:trPr>
        <w:tc>
          <w:tcPr>
            <w:tcW w:w="2247" w:type="pct"/>
            <w:vAlign w:val="center"/>
          </w:tcPr>
          <w:p w:rsidR="007C5D53" w:rsidRPr="00B13447" w:rsidRDefault="007C5D53" w:rsidP="00A34FCE">
            <w:pPr>
              <w:pStyle w:val="TableParagraph"/>
              <w:rPr>
                <w:rFonts w:asciiTheme="minorHAnsi" w:hAnsiTheme="minorHAnsi" w:cstheme="minorHAnsi"/>
                <w:b/>
                <w:sz w:val="20"/>
                <w:szCs w:val="20"/>
              </w:rPr>
            </w:pPr>
            <w:r w:rsidRPr="00B13447">
              <w:rPr>
                <w:rFonts w:asciiTheme="minorHAnsi" w:hAnsiTheme="minorHAnsi" w:cstheme="minorHAnsi"/>
                <w:b/>
                <w:sz w:val="20"/>
                <w:szCs w:val="20"/>
              </w:rPr>
              <w:t>Organization</w:t>
            </w:r>
            <w:r w:rsidRPr="00B13447">
              <w:rPr>
                <w:rFonts w:asciiTheme="minorHAnsi" w:hAnsiTheme="minorHAnsi" w:cstheme="minorHAnsi"/>
                <w:b/>
                <w:spacing w:val="-1"/>
                <w:sz w:val="20"/>
                <w:szCs w:val="20"/>
              </w:rPr>
              <w:t xml:space="preserve"> / </w:t>
            </w:r>
            <w:r w:rsidRPr="00B13447">
              <w:rPr>
                <w:rFonts w:cstheme="minorHAnsi"/>
                <w:b/>
                <w:sz w:val="20"/>
                <w:szCs w:val="20"/>
              </w:rPr>
              <w:t>Operator’s</w:t>
            </w:r>
            <w:r w:rsidRPr="00B13447">
              <w:rPr>
                <w:rFonts w:asciiTheme="minorHAnsi" w:hAnsiTheme="minorHAnsi" w:cstheme="minorHAnsi"/>
                <w:b/>
                <w:sz w:val="20"/>
                <w:szCs w:val="20"/>
              </w:rPr>
              <w:t xml:space="preserve"> &amp;</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Trading</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Name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(If</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any):</w:t>
            </w:r>
          </w:p>
        </w:tc>
        <w:tc>
          <w:tcPr>
            <w:tcW w:w="2753" w:type="pct"/>
            <w:vAlign w:val="center"/>
          </w:tcPr>
          <w:p w:rsidR="007C5D53" w:rsidRPr="00615625" w:rsidRDefault="007C5D53" w:rsidP="00A34FCE">
            <w:pPr>
              <w:pStyle w:val="TableParagraph"/>
              <w:rPr>
                <w:rFonts w:asciiTheme="minorHAnsi" w:hAnsiTheme="minorHAnsi" w:cstheme="minorHAnsi"/>
                <w:b/>
                <w:bCs/>
              </w:rPr>
            </w:pPr>
          </w:p>
        </w:tc>
      </w:tr>
      <w:tr w:rsidR="007C5D53" w:rsidRPr="00615625" w:rsidTr="007C5D53">
        <w:trPr>
          <w:trHeight w:val="432"/>
        </w:trPr>
        <w:tc>
          <w:tcPr>
            <w:tcW w:w="2247" w:type="pct"/>
            <w:vAlign w:val="center"/>
          </w:tcPr>
          <w:p w:rsidR="007C5D53" w:rsidRPr="00B13447" w:rsidRDefault="007C5D53" w:rsidP="00A34FCE">
            <w:pPr>
              <w:pStyle w:val="TableParagraph"/>
              <w:rPr>
                <w:rFonts w:asciiTheme="minorHAnsi" w:hAnsiTheme="minorHAnsi" w:cstheme="minorHAnsi"/>
                <w:b/>
                <w:sz w:val="20"/>
                <w:szCs w:val="20"/>
              </w:rPr>
            </w:pPr>
            <w:r>
              <w:rPr>
                <w:rFonts w:asciiTheme="minorHAnsi" w:hAnsiTheme="minorHAnsi" w:cstheme="minorHAnsi"/>
                <w:b/>
                <w:sz w:val="20"/>
                <w:szCs w:val="20"/>
              </w:rPr>
              <w:t>AOC Number:</w:t>
            </w:r>
          </w:p>
        </w:tc>
        <w:tc>
          <w:tcPr>
            <w:tcW w:w="2753" w:type="pct"/>
            <w:vAlign w:val="center"/>
          </w:tcPr>
          <w:p w:rsidR="007C5D53" w:rsidRPr="00615625" w:rsidRDefault="007C5D53" w:rsidP="00A34FCE">
            <w:pPr>
              <w:pStyle w:val="TableParagraph"/>
              <w:rPr>
                <w:rFonts w:asciiTheme="minorHAnsi" w:hAnsiTheme="minorHAnsi" w:cstheme="minorHAnsi"/>
                <w:b/>
                <w:bCs/>
              </w:rPr>
            </w:pPr>
          </w:p>
        </w:tc>
      </w:tr>
      <w:tr w:rsidR="007C5D53" w:rsidRPr="00615625" w:rsidTr="007C5D53">
        <w:trPr>
          <w:trHeight w:val="432"/>
        </w:trPr>
        <w:tc>
          <w:tcPr>
            <w:tcW w:w="2247" w:type="pct"/>
            <w:vAlign w:val="center"/>
          </w:tcPr>
          <w:p w:rsidR="007C5D53" w:rsidRPr="00B13447" w:rsidRDefault="007C5D53" w:rsidP="00A34FCE">
            <w:pPr>
              <w:pStyle w:val="TableParagraph"/>
              <w:rPr>
                <w:rFonts w:asciiTheme="minorHAnsi" w:hAnsiTheme="minorHAnsi" w:cstheme="minorHAnsi"/>
                <w:b/>
                <w:sz w:val="20"/>
                <w:szCs w:val="20"/>
              </w:rPr>
            </w:pPr>
            <w:r w:rsidRPr="00B13447">
              <w:rPr>
                <w:rFonts w:asciiTheme="minorHAnsi" w:hAnsiTheme="minorHAnsi" w:cstheme="minorHAnsi"/>
                <w:b/>
                <w:sz w:val="20"/>
                <w:szCs w:val="20"/>
              </w:rPr>
              <w:t>Accountable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Manager:</w:t>
            </w:r>
          </w:p>
        </w:tc>
        <w:tc>
          <w:tcPr>
            <w:tcW w:w="2753" w:type="pct"/>
            <w:vAlign w:val="center"/>
          </w:tcPr>
          <w:p w:rsidR="007C5D53" w:rsidRPr="00615625" w:rsidRDefault="007C5D53" w:rsidP="00A34FCE">
            <w:pPr>
              <w:pStyle w:val="TableParagraph"/>
              <w:rPr>
                <w:rFonts w:asciiTheme="minorHAnsi" w:hAnsiTheme="minorHAnsi" w:cstheme="minorHAnsi"/>
                <w:b/>
                <w:bCs/>
              </w:rPr>
            </w:pPr>
          </w:p>
        </w:tc>
      </w:tr>
      <w:tr w:rsidR="007C5D53" w:rsidRPr="00615625" w:rsidTr="007C5D53">
        <w:trPr>
          <w:trHeight w:val="432"/>
        </w:trPr>
        <w:tc>
          <w:tcPr>
            <w:tcW w:w="2247" w:type="pct"/>
            <w:vAlign w:val="center"/>
          </w:tcPr>
          <w:p w:rsidR="007C5D53" w:rsidRPr="00B13447" w:rsidRDefault="007C5D53" w:rsidP="00A34FCE">
            <w:pPr>
              <w:pStyle w:val="TableParagraph"/>
              <w:rPr>
                <w:rFonts w:asciiTheme="minorHAnsi" w:hAnsiTheme="minorHAnsi" w:cstheme="minorHAnsi"/>
                <w:b/>
                <w:sz w:val="20"/>
                <w:szCs w:val="20"/>
              </w:rPr>
            </w:pPr>
            <w:r w:rsidRPr="00B13447">
              <w:rPr>
                <w:b/>
                <w:spacing w:val="-2"/>
                <w:sz w:val="20"/>
                <w:szCs w:val="20"/>
              </w:rPr>
              <w:t>Address:</w:t>
            </w:r>
          </w:p>
        </w:tc>
        <w:tc>
          <w:tcPr>
            <w:tcW w:w="2753" w:type="pct"/>
            <w:vAlign w:val="center"/>
          </w:tcPr>
          <w:p w:rsidR="007C5D53" w:rsidRPr="00615625" w:rsidRDefault="007C5D53" w:rsidP="00A34FCE">
            <w:pPr>
              <w:pStyle w:val="TableParagraph"/>
              <w:rPr>
                <w:rFonts w:asciiTheme="minorHAnsi" w:hAnsiTheme="minorHAnsi" w:cstheme="minorHAnsi"/>
                <w:b/>
                <w:bCs/>
              </w:rPr>
            </w:pPr>
          </w:p>
        </w:tc>
      </w:tr>
      <w:tr w:rsidR="007C5D53" w:rsidRPr="00615625" w:rsidTr="007C5D53">
        <w:trPr>
          <w:trHeight w:val="432"/>
        </w:trPr>
        <w:tc>
          <w:tcPr>
            <w:tcW w:w="2247" w:type="pct"/>
            <w:vAlign w:val="center"/>
          </w:tcPr>
          <w:p w:rsidR="007C5D53" w:rsidRPr="00B13447" w:rsidRDefault="007C5D53" w:rsidP="00A34FCE">
            <w:pPr>
              <w:pStyle w:val="TableParagraph"/>
              <w:rPr>
                <w:rFonts w:asciiTheme="minorHAnsi" w:hAnsiTheme="minorHAnsi" w:cstheme="minorHAnsi"/>
                <w:b/>
                <w:bCs/>
                <w:sz w:val="20"/>
                <w:szCs w:val="20"/>
              </w:rPr>
            </w:pPr>
            <w:r w:rsidRPr="00B13447">
              <w:rPr>
                <w:rFonts w:asciiTheme="minorHAnsi" w:hAnsiTheme="minorHAnsi" w:cstheme="minorHAnsi"/>
                <w:b/>
                <w:bCs/>
                <w:sz w:val="20"/>
                <w:szCs w:val="20"/>
              </w:rPr>
              <w:t>Tel.:</w:t>
            </w:r>
            <w:r w:rsidRPr="00B13447">
              <w:rPr>
                <w:rFonts w:asciiTheme="minorHAnsi" w:hAnsiTheme="minorHAnsi" w:cstheme="minorHAnsi"/>
                <w:b/>
                <w:bCs/>
                <w:spacing w:val="-3"/>
                <w:sz w:val="20"/>
                <w:szCs w:val="20"/>
              </w:rPr>
              <w:t xml:space="preserve"> </w:t>
            </w:r>
          </w:p>
        </w:tc>
        <w:tc>
          <w:tcPr>
            <w:tcW w:w="2753" w:type="pct"/>
            <w:vAlign w:val="center"/>
          </w:tcPr>
          <w:p w:rsidR="007C5D53" w:rsidRPr="00615625" w:rsidRDefault="007C5D53" w:rsidP="00A34FCE">
            <w:pPr>
              <w:pStyle w:val="TableParagraph"/>
              <w:rPr>
                <w:rFonts w:asciiTheme="minorHAnsi" w:hAnsiTheme="minorHAnsi" w:cstheme="minorHAnsi"/>
                <w:b/>
                <w:bCs/>
              </w:rPr>
            </w:pPr>
            <w:r w:rsidRPr="00B13447">
              <w:rPr>
                <w:rFonts w:asciiTheme="minorHAnsi" w:hAnsiTheme="minorHAnsi" w:cstheme="minorHAnsi"/>
                <w:b/>
                <w:bCs/>
                <w:sz w:val="20"/>
                <w:szCs w:val="20"/>
              </w:rPr>
              <w:t>+968</w:t>
            </w:r>
          </w:p>
        </w:tc>
      </w:tr>
      <w:tr w:rsidR="007C5D53" w:rsidRPr="00615625" w:rsidTr="007C5D53">
        <w:trPr>
          <w:trHeight w:val="432"/>
        </w:trPr>
        <w:tc>
          <w:tcPr>
            <w:tcW w:w="2247" w:type="pct"/>
            <w:vAlign w:val="center"/>
          </w:tcPr>
          <w:p w:rsidR="007C5D53" w:rsidRPr="00B13447" w:rsidRDefault="007C5D53" w:rsidP="00A34FCE">
            <w:pPr>
              <w:pStyle w:val="TableParagraph"/>
              <w:rPr>
                <w:rFonts w:asciiTheme="minorHAnsi" w:hAnsiTheme="minorHAnsi" w:cstheme="minorHAnsi"/>
                <w:b/>
                <w:bCs/>
                <w:sz w:val="20"/>
                <w:szCs w:val="20"/>
              </w:rPr>
            </w:pPr>
            <w:r>
              <w:rPr>
                <w:b/>
                <w:sz w:val="20"/>
              </w:rPr>
              <w:t>Contact</w:t>
            </w:r>
            <w:r>
              <w:rPr>
                <w:b/>
                <w:spacing w:val="-6"/>
                <w:sz w:val="20"/>
              </w:rPr>
              <w:t xml:space="preserve"> </w:t>
            </w:r>
            <w:r>
              <w:rPr>
                <w:b/>
                <w:spacing w:val="-2"/>
                <w:sz w:val="20"/>
              </w:rPr>
              <w:t>person:</w:t>
            </w:r>
          </w:p>
        </w:tc>
        <w:tc>
          <w:tcPr>
            <w:tcW w:w="2753" w:type="pct"/>
            <w:vAlign w:val="center"/>
          </w:tcPr>
          <w:p w:rsidR="007C5D53" w:rsidRPr="00615625" w:rsidRDefault="007C5D53" w:rsidP="00A34FCE">
            <w:pPr>
              <w:pStyle w:val="TableParagraph"/>
              <w:rPr>
                <w:rFonts w:asciiTheme="minorHAnsi" w:hAnsiTheme="minorHAnsi" w:cstheme="minorHAnsi"/>
                <w:b/>
                <w:bCs/>
              </w:rPr>
            </w:pPr>
          </w:p>
        </w:tc>
      </w:tr>
      <w:tr w:rsidR="007C5D53" w:rsidRPr="00615625" w:rsidTr="007C5D53">
        <w:trPr>
          <w:trHeight w:val="432"/>
        </w:trPr>
        <w:tc>
          <w:tcPr>
            <w:tcW w:w="2247" w:type="pct"/>
            <w:vAlign w:val="center"/>
          </w:tcPr>
          <w:p w:rsidR="007C5D53" w:rsidRDefault="007C5D53" w:rsidP="00A34FCE">
            <w:pPr>
              <w:pStyle w:val="TableParagraph"/>
              <w:rPr>
                <w:b/>
                <w:sz w:val="20"/>
              </w:rPr>
            </w:pPr>
            <w:r w:rsidRPr="00B13447">
              <w:rPr>
                <w:rFonts w:asciiTheme="minorHAnsi" w:hAnsiTheme="minorHAnsi" w:cstheme="minorHAnsi"/>
                <w:b/>
                <w:bCs/>
                <w:sz w:val="20"/>
                <w:szCs w:val="20"/>
              </w:rPr>
              <w:t>Email</w:t>
            </w:r>
            <w:r>
              <w:rPr>
                <w:rFonts w:asciiTheme="minorHAnsi" w:hAnsiTheme="minorHAnsi" w:cstheme="minorHAnsi"/>
                <w:b/>
                <w:bCs/>
                <w:sz w:val="20"/>
                <w:szCs w:val="20"/>
              </w:rPr>
              <w:t>:</w:t>
            </w:r>
          </w:p>
        </w:tc>
        <w:tc>
          <w:tcPr>
            <w:tcW w:w="2753" w:type="pct"/>
            <w:vAlign w:val="center"/>
          </w:tcPr>
          <w:p w:rsidR="007C5D53" w:rsidRPr="00615625" w:rsidRDefault="007C5D53" w:rsidP="00A34FCE">
            <w:pPr>
              <w:pStyle w:val="TableParagraph"/>
              <w:rPr>
                <w:rFonts w:asciiTheme="minorHAnsi" w:hAnsiTheme="minorHAnsi" w:cstheme="minorHAnsi"/>
                <w:b/>
                <w:bCs/>
              </w:rPr>
            </w:pPr>
          </w:p>
        </w:tc>
      </w:tr>
    </w:tbl>
    <w:p w:rsidR="007C5D53" w:rsidRDefault="007C5D53" w:rsidP="007C5D53"/>
    <w:p w:rsidR="007C5D53" w:rsidRDefault="007C5D53" w:rsidP="007C5D53"/>
    <w:p w:rsidR="00F76C44" w:rsidRPr="007C5D53" w:rsidRDefault="00F76C44" w:rsidP="007C5D53">
      <w:pPr>
        <w:sectPr w:rsidR="00F76C44" w:rsidRPr="007C5D53" w:rsidSect="00B953B9">
          <w:headerReference w:type="default" r:id="rId8"/>
          <w:footerReference w:type="default" r:id="rId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440"/>
        <w:gridCol w:w="4639"/>
        <w:gridCol w:w="833"/>
        <w:gridCol w:w="576"/>
        <w:gridCol w:w="1440"/>
        <w:gridCol w:w="1120"/>
      </w:tblGrid>
      <w:tr w:rsidR="00185A1A" w:rsidRPr="00FF4CBE" w:rsidTr="008C6CDF">
        <w:trPr>
          <w:trHeight w:val="576"/>
        </w:trPr>
        <w:tc>
          <w:tcPr>
            <w:tcW w:w="576" w:type="dxa"/>
            <w:shd w:val="clear" w:color="auto" w:fill="DEEAF6" w:themeFill="accent1" w:themeFillTint="33"/>
            <w:vAlign w:val="center"/>
          </w:tcPr>
          <w:p w:rsidR="000A7DE1" w:rsidRPr="00185A1A" w:rsidRDefault="00DB6048" w:rsidP="00461D21">
            <w:pPr>
              <w:widowControl w:val="0"/>
              <w:autoSpaceDE w:val="0"/>
              <w:autoSpaceDN w:val="0"/>
              <w:ind w:left="144" w:right="36" w:hanging="144"/>
              <w:jc w:val="center"/>
              <w:rPr>
                <w:rFonts w:eastAsia="Calibri" w:cstheme="minorHAnsi"/>
                <w:b/>
                <w:kern w:val="0"/>
                <w:sz w:val="20"/>
                <w:szCs w:val="20"/>
                <w:lang w:val="en-US"/>
                <w14:ligatures w14:val="none"/>
              </w:rPr>
            </w:pPr>
            <w:r w:rsidRPr="00185A1A">
              <w:rPr>
                <w:rFonts w:eastAsia="Calibri" w:cstheme="minorHAnsi"/>
                <w:b/>
                <w:kern w:val="0"/>
                <w:sz w:val="20"/>
                <w:szCs w:val="20"/>
                <w:lang w:val="en-US"/>
                <w14:ligatures w14:val="none"/>
              </w:rPr>
              <w:lastRenderedPageBreak/>
              <w:t>No: -</w:t>
            </w:r>
          </w:p>
        </w:tc>
        <w:tc>
          <w:tcPr>
            <w:tcW w:w="1440" w:type="dxa"/>
            <w:shd w:val="clear" w:color="auto" w:fill="DEEAF6" w:themeFill="accent1" w:themeFillTint="33"/>
            <w:vAlign w:val="center"/>
          </w:tcPr>
          <w:p w:rsidR="000A7DE1" w:rsidRPr="00185A1A" w:rsidRDefault="000A7DE1" w:rsidP="00461D21">
            <w:pPr>
              <w:pStyle w:val="TableParagraph"/>
              <w:ind w:right="87"/>
              <w:jc w:val="center"/>
              <w:rPr>
                <w:rFonts w:asciiTheme="minorHAnsi" w:hAnsiTheme="minorHAnsi" w:cstheme="minorHAnsi"/>
                <w:sz w:val="20"/>
                <w:szCs w:val="20"/>
              </w:rPr>
            </w:pPr>
            <w:r w:rsidRPr="00185A1A">
              <w:rPr>
                <w:b/>
                <w:sz w:val="20"/>
                <w:szCs w:val="20"/>
              </w:rPr>
              <w:t>Reference</w:t>
            </w:r>
          </w:p>
        </w:tc>
        <w:tc>
          <w:tcPr>
            <w:tcW w:w="4639" w:type="dxa"/>
            <w:shd w:val="clear" w:color="auto" w:fill="DEEAF6" w:themeFill="accent1" w:themeFillTint="33"/>
            <w:vAlign w:val="center"/>
          </w:tcPr>
          <w:p w:rsidR="000A7DE1" w:rsidRPr="00185A1A" w:rsidRDefault="009C28B2" w:rsidP="00461D21">
            <w:pPr>
              <w:pStyle w:val="TableParagraph"/>
              <w:ind w:left="98"/>
              <w:jc w:val="center"/>
              <w:rPr>
                <w:rFonts w:asciiTheme="minorHAnsi" w:hAnsiTheme="minorHAnsi" w:cstheme="minorHAnsi"/>
                <w:sz w:val="20"/>
                <w:szCs w:val="20"/>
              </w:rPr>
            </w:pPr>
            <w:r w:rsidRPr="00185A1A">
              <w:rPr>
                <w:b/>
                <w:sz w:val="20"/>
                <w:szCs w:val="20"/>
              </w:rPr>
              <w:t xml:space="preserve">Subject </w:t>
            </w:r>
          </w:p>
        </w:tc>
        <w:tc>
          <w:tcPr>
            <w:tcW w:w="833" w:type="dxa"/>
            <w:shd w:val="clear" w:color="auto" w:fill="DEEAF6" w:themeFill="accent1" w:themeFillTint="33"/>
            <w:vAlign w:val="center"/>
          </w:tcPr>
          <w:p w:rsidR="000A7DE1" w:rsidRPr="00185A1A" w:rsidRDefault="000A7DE1" w:rsidP="00461D21">
            <w:pPr>
              <w:pStyle w:val="TableParagraph"/>
              <w:spacing w:before="22"/>
              <w:ind w:right="151" w:firstLine="48"/>
              <w:jc w:val="center"/>
              <w:rPr>
                <w:b/>
                <w:sz w:val="20"/>
                <w:szCs w:val="20"/>
              </w:rPr>
            </w:pPr>
            <w:r w:rsidRPr="00185A1A">
              <w:rPr>
                <w:b/>
                <w:sz w:val="20"/>
                <w:szCs w:val="20"/>
              </w:rPr>
              <w:t xml:space="preserve">Applicant’s </w:t>
            </w:r>
            <w:r w:rsidR="00C307A8" w:rsidRPr="00185A1A">
              <w:rPr>
                <w:b/>
                <w:sz w:val="20"/>
                <w:szCs w:val="20"/>
              </w:rPr>
              <w:t>GOM</w:t>
            </w:r>
          </w:p>
          <w:p w:rsidR="000A7DE1" w:rsidRPr="00185A1A" w:rsidRDefault="000A7DE1" w:rsidP="00461D21">
            <w:pPr>
              <w:widowControl w:val="0"/>
              <w:autoSpaceDE w:val="0"/>
              <w:autoSpaceDN w:val="0"/>
              <w:jc w:val="center"/>
              <w:rPr>
                <w:rFonts w:eastAsia="Calibri" w:cstheme="minorHAnsi"/>
                <w:b/>
                <w:kern w:val="0"/>
                <w:sz w:val="20"/>
                <w:szCs w:val="20"/>
                <w:lang w:val="en-US"/>
                <w14:ligatures w14:val="none"/>
              </w:rPr>
            </w:pPr>
            <w:r w:rsidRPr="00185A1A">
              <w:rPr>
                <w:b/>
                <w:sz w:val="20"/>
                <w:szCs w:val="20"/>
              </w:rPr>
              <w:t>reference</w:t>
            </w:r>
          </w:p>
        </w:tc>
        <w:tc>
          <w:tcPr>
            <w:tcW w:w="576" w:type="dxa"/>
            <w:shd w:val="clear" w:color="auto" w:fill="DEEAF6" w:themeFill="accent1" w:themeFillTint="33"/>
            <w:vAlign w:val="center"/>
          </w:tcPr>
          <w:p w:rsidR="000A7DE1" w:rsidRPr="00185A1A" w:rsidRDefault="000A7DE1" w:rsidP="00461D21">
            <w:pPr>
              <w:widowControl w:val="0"/>
              <w:autoSpaceDE w:val="0"/>
              <w:autoSpaceDN w:val="0"/>
              <w:jc w:val="center"/>
              <w:rPr>
                <w:rFonts w:eastAsia="Calibri" w:cstheme="minorHAnsi"/>
                <w:b/>
                <w:kern w:val="0"/>
                <w:sz w:val="20"/>
                <w:szCs w:val="20"/>
                <w:lang w:val="en-US"/>
                <w14:ligatures w14:val="none"/>
              </w:rPr>
            </w:pPr>
            <w:r w:rsidRPr="00185A1A">
              <w:rPr>
                <w:b/>
                <w:sz w:val="20"/>
                <w:szCs w:val="20"/>
              </w:rPr>
              <w:t>S/ US</w:t>
            </w:r>
          </w:p>
        </w:tc>
        <w:tc>
          <w:tcPr>
            <w:tcW w:w="1440" w:type="dxa"/>
            <w:shd w:val="clear" w:color="auto" w:fill="DEEAF6" w:themeFill="accent1" w:themeFillTint="33"/>
            <w:vAlign w:val="center"/>
          </w:tcPr>
          <w:p w:rsidR="000A7DE1" w:rsidRPr="00185A1A" w:rsidRDefault="000A7DE1" w:rsidP="00461D21">
            <w:pPr>
              <w:widowControl w:val="0"/>
              <w:autoSpaceDE w:val="0"/>
              <w:autoSpaceDN w:val="0"/>
              <w:jc w:val="center"/>
              <w:rPr>
                <w:rFonts w:eastAsia="Calibri" w:cstheme="minorHAnsi"/>
                <w:b/>
                <w:kern w:val="0"/>
                <w:sz w:val="20"/>
                <w:szCs w:val="20"/>
                <w:lang w:val="en-US"/>
                <w14:ligatures w14:val="none"/>
              </w:rPr>
            </w:pPr>
            <w:r w:rsidRPr="00185A1A">
              <w:rPr>
                <w:b/>
                <w:sz w:val="20"/>
                <w:szCs w:val="20"/>
              </w:rPr>
              <w:t>Required corrective action</w:t>
            </w:r>
          </w:p>
        </w:tc>
        <w:tc>
          <w:tcPr>
            <w:tcW w:w="1120" w:type="dxa"/>
            <w:shd w:val="clear" w:color="auto" w:fill="DEEAF6" w:themeFill="accent1" w:themeFillTint="33"/>
            <w:vAlign w:val="center"/>
          </w:tcPr>
          <w:p w:rsidR="000A7DE1" w:rsidRPr="00185A1A" w:rsidRDefault="009760A1" w:rsidP="00461D21">
            <w:pPr>
              <w:widowControl w:val="0"/>
              <w:autoSpaceDE w:val="0"/>
              <w:autoSpaceDN w:val="0"/>
              <w:jc w:val="center"/>
              <w:rPr>
                <w:sz w:val="20"/>
                <w:szCs w:val="20"/>
              </w:rPr>
            </w:pPr>
            <w:r w:rsidRPr="00185A1A">
              <w:rPr>
                <w:b/>
                <w:sz w:val="20"/>
                <w:szCs w:val="20"/>
              </w:rPr>
              <w:t>Comment</w:t>
            </w:r>
          </w:p>
        </w:tc>
      </w:tr>
      <w:tr w:rsidR="00461D21" w:rsidRPr="00FF4CBE" w:rsidTr="00B3346C">
        <w:trPr>
          <w:trHeight w:val="576"/>
        </w:trPr>
        <w:tc>
          <w:tcPr>
            <w:tcW w:w="10624" w:type="dxa"/>
            <w:gridSpan w:val="7"/>
            <w:shd w:val="clear" w:color="auto" w:fill="DEEAF6" w:themeFill="accent1" w:themeFillTint="33"/>
            <w:vAlign w:val="center"/>
          </w:tcPr>
          <w:p w:rsidR="00461D21" w:rsidRDefault="008C6CDF" w:rsidP="00461D21">
            <w:pPr>
              <w:widowControl w:val="0"/>
              <w:autoSpaceDE w:val="0"/>
              <w:autoSpaceDN w:val="0"/>
              <w:ind w:left="288"/>
              <w:rPr>
                <w:b/>
                <w:sz w:val="18"/>
              </w:rPr>
            </w:pPr>
            <w:r>
              <w:rPr>
                <w:b/>
                <w:sz w:val="22"/>
                <w:szCs w:val="22"/>
              </w:rPr>
              <w:t xml:space="preserve">A. </w:t>
            </w:r>
            <w:r w:rsidR="00790907">
              <w:rPr>
                <w:b/>
                <w:sz w:val="22"/>
                <w:szCs w:val="22"/>
              </w:rPr>
              <w:t>General Directives</w:t>
            </w:r>
          </w:p>
        </w:tc>
      </w:tr>
      <w:tr w:rsidR="00790907" w:rsidRPr="003F3BDE" w:rsidTr="008C6CDF">
        <w:trPr>
          <w:trHeight w:val="1008"/>
        </w:trPr>
        <w:tc>
          <w:tcPr>
            <w:tcW w:w="576" w:type="dxa"/>
            <w:shd w:val="clear" w:color="auto" w:fill="auto"/>
            <w:vAlign w:val="center"/>
          </w:tcPr>
          <w:p w:rsidR="00790907" w:rsidRPr="00461D21" w:rsidRDefault="00790907" w:rsidP="00461D21">
            <w:pPr>
              <w:pStyle w:val="ListParagraph"/>
              <w:widowControl w:val="0"/>
              <w:numPr>
                <w:ilvl w:val="0"/>
                <w:numId w:val="2"/>
              </w:numPr>
              <w:autoSpaceDE w:val="0"/>
              <w:autoSpaceDN w:val="0"/>
              <w:ind w:left="504" w:right="172"/>
              <w:rPr>
                <w:rFonts w:eastAsia="Calibri" w:cstheme="minorHAnsi"/>
                <w:b/>
                <w:kern w:val="0"/>
                <w:sz w:val="18"/>
                <w:szCs w:val="18"/>
                <w:lang w:val="en-US"/>
                <w14:ligatures w14:val="none"/>
              </w:rPr>
            </w:pPr>
          </w:p>
        </w:tc>
        <w:tc>
          <w:tcPr>
            <w:tcW w:w="1440" w:type="dxa"/>
            <w:vMerge w:val="restart"/>
            <w:shd w:val="clear" w:color="auto" w:fill="auto"/>
          </w:tcPr>
          <w:p w:rsidR="00790907" w:rsidRDefault="00790907" w:rsidP="00A12845">
            <w:pPr>
              <w:pStyle w:val="TableParagraph"/>
              <w:spacing w:before="60" w:after="60"/>
              <w:ind w:left="-144" w:right="115" w:firstLine="280"/>
              <w:rPr>
                <w:sz w:val="18"/>
                <w:szCs w:val="18"/>
              </w:rPr>
            </w:pPr>
            <w:r>
              <w:rPr>
                <w:sz w:val="18"/>
                <w:szCs w:val="18"/>
              </w:rPr>
              <w:t>CAD 02-02</w:t>
            </w:r>
          </w:p>
          <w:p w:rsidR="008C6CDF" w:rsidRPr="00461D21" w:rsidRDefault="008C6CDF" w:rsidP="00A12845">
            <w:pPr>
              <w:pStyle w:val="TableParagraph"/>
              <w:spacing w:before="60" w:after="60"/>
              <w:ind w:left="-144" w:right="115" w:firstLine="280"/>
              <w:rPr>
                <w:sz w:val="18"/>
                <w:szCs w:val="18"/>
              </w:rPr>
            </w:pPr>
            <w:r>
              <w:rPr>
                <w:sz w:val="18"/>
                <w:szCs w:val="18"/>
              </w:rPr>
              <w:t xml:space="preserve">Section B </w:t>
            </w:r>
          </w:p>
        </w:tc>
        <w:tc>
          <w:tcPr>
            <w:tcW w:w="4639" w:type="dxa"/>
            <w:shd w:val="clear" w:color="auto" w:fill="auto"/>
            <w:vAlign w:val="center"/>
          </w:tcPr>
          <w:p w:rsidR="00790907" w:rsidRPr="00461D21" w:rsidRDefault="00790907" w:rsidP="00790907">
            <w:pPr>
              <w:pStyle w:val="TableParagraph"/>
              <w:spacing w:before="60" w:after="60"/>
              <w:ind w:left="144" w:right="103"/>
              <w:jc w:val="both"/>
              <w:rPr>
                <w:sz w:val="18"/>
                <w:szCs w:val="18"/>
              </w:rPr>
            </w:pPr>
            <w:r>
              <w:t xml:space="preserve">1. Effective 31st December 2024, Air Operators shall issue Air Waybill stock only to CAA Dangerous Goods certified entities. This shall include Freight forwarders and cargo agents who are involved in processing of cargo and mail other than dangerous goods. </w:t>
            </w:r>
          </w:p>
        </w:tc>
        <w:tc>
          <w:tcPr>
            <w:tcW w:w="833" w:type="dxa"/>
            <w:shd w:val="clear" w:color="auto" w:fill="auto"/>
            <w:vAlign w:val="center"/>
          </w:tcPr>
          <w:p w:rsidR="00790907" w:rsidRPr="003F3BDE" w:rsidRDefault="00790907"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790907" w:rsidRPr="003F3BDE" w:rsidRDefault="00790907"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790907" w:rsidRPr="003F3BDE" w:rsidRDefault="00790907"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790907" w:rsidRPr="003F3BDE" w:rsidRDefault="00790907" w:rsidP="00461D21">
            <w:pPr>
              <w:widowControl w:val="0"/>
              <w:autoSpaceDE w:val="0"/>
              <w:autoSpaceDN w:val="0"/>
              <w:jc w:val="center"/>
              <w:rPr>
                <w:rFonts w:eastAsia="Calibri" w:cstheme="minorHAnsi"/>
                <w:b/>
                <w:kern w:val="0"/>
                <w:sz w:val="22"/>
                <w:szCs w:val="22"/>
                <w:lang w:val="en-US"/>
                <w14:ligatures w14:val="none"/>
              </w:rPr>
            </w:pPr>
          </w:p>
        </w:tc>
      </w:tr>
      <w:tr w:rsidR="00790907" w:rsidRPr="003F3BDE" w:rsidTr="008C6CDF">
        <w:trPr>
          <w:trHeight w:val="858"/>
        </w:trPr>
        <w:tc>
          <w:tcPr>
            <w:tcW w:w="576" w:type="dxa"/>
            <w:shd w:val="clear" w:color="auto" w:fill="auto"/>
            <w:vAlign w:val="center"/>
          </w:tcPr>
          <w:p w:rsidR="00790907" w:rsidRPr="00461D21" w:rsidRDefault="00790907" w:rsidP="00461D21">
            <w:pPr>
              <w:pStyle w:val="ListParagraph"/>
              <w:widowControl w:val="0"/>
              <w:numPr>
                <w:ilvl w:val="0"/>
                <w:numId w:val="2"/>
              </w:numPr>
              <w:autoSpaceDE w:val="0"/>
              <w:autoSpaceDN w:val="0"/>
              <w:ind w:left="504" w:right="93"/>
              <w:rPr>
                <w:rFonts w:eastAsia="Calibri" w:cstheme="minorHAnsi"/>
                <w:b/>
                <w:kern w:val="0"/>
                <w:sz w:val="18"/>
                <w:szCs w:val="18"/>
                <w:lang w:val="en-US"/>
                <w14:ligatures w14:val="none"/>
              </w:rPr>
            </w:pPr>
          </w:p>
        </w:tc>
        <w:tc>
          <w:tcPr>
            <w:tcW w:w="1440" w:type="dxa"/>
            <w:vMerge/>
            <w:shd w:val="clear" w:color="auto" w:fill="auto"/>
          </w:tcPr>
          <w:p w:rsidR="00790907" w:rsidRPr="00461D21" w:rsidRDefault="00790907" w:rsidP="00461D21">
            <w:pPr>
              <w:pStyle w:val="TableParagraph"/>
              <w:ind w:left="144"/>
              <w:rPr>
                <w:rFonts w:asciiTheme="minorHAnsi" w:hAnsiTheme="minorHAnsi" w:cstheme="minorHAnsi"/>
                <w:sz w:val="18"/>
                <w:szCs w:val="18"/>
              </w:rPr>
            </w:pPr>
          </w:p>
        </w:tc>
        <w:tc>
          <w:tcPr>
            <w:tcW w:w="4639" w:type="dxa"/>
            <w:shd w:val="clear" w:color="auto" w:fill="auto"/>
            <w:vAlign w:val="center"/>
          </w:tcPr>
          <w:p w:rsidR="00790907" w:rsidRPr="00461D21" w:rsidRDefault="00790907" w:rsidP="00790907">
            <w:pPr>
              <w:pStyle w:val="TableParagraph"/>
              <w:spacing w:before="60" w:after="60"/>
              <w:ind w:left="144" w:right="104"/>
              <w:jc w:val="both"/>
              <w:rPr>
                <w:sz w:val="18"/>
                <w:szCs w:val="18"/>
              </w:rPr>
            </w:pPr>
            <w:r>
              <w:t>2. Effective 31st December 2024, all General Cargo including Dangerous Goods identified as “not restricted” in the air waybill, shall be offered for air transport only by a CAA Dangerous Goods Certified entity. The list of certified freight forwarders shall be maintained by the Cargo acceptance entity Oman SATS in coordination with the CAA Flight Safety Department.</w:t>
            </w:r>
          </w:p>
        </w:tc>
        <w:tc>
          <w:tcPr>
            <w:tcW w:w="833" w:type="dxa"/>
            <w:shd w:val="clear" w:color="auto" w:fill="auto"/>
            <w:vAlign w:val="center"/>
          </w:tcPr>
          <w:p w:rsidR="00790907" w:rsidRPr="003F3BDE" w:rsidRDefault="00790907"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790907" w:rsidRPr="003F3BDE" w:rsidRDefault="00790907"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790907" w:rsidRPr="003F3BDE" w:rsidRDefault="00790907"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790907" w:rsidRPr="003F3BDE" w:rsidRDefault="00790907" w:rsidP="00461D21">
            <w:pPr>
              <w:widowControl w:val="0"/>
              <w:autoSpaceDE w:val="0"/>
              <w:autoSpaceDN w:val="0"/>
              <w:jc w:val="center"/>
              <w:rPr>
                <w:rFonts w:eastAsia="Calibri" w:cstheme="minorHAnsi"/>
                <w:b/>
                <w:kern w:val="0"/>
                <w:sz w:val="22"/>
                <w:szCs w:val="22"/>
                <w:lang w:val="en-US"/>
                <w14:ligatures w14:val="none"/>
              </w:rPr>
            </w:pPr>
          </w:p>
        </w:tc>
      </w:tr>
      <w:tr w:rsidR="00790907" w:rsidRPr="003F3BDE" w:rsidTr="008C6CDF">
        <w:trPr>
          <w:trHeight w:val="432"/>
        </w:trPr>
        <w:tc>
          <w:tcPr>
            <w:tcW w:w="576" w:type="dxa"/>
            <w:shd w:val="clear" w:color="auto" w:fill="auto"/>
            <w:vAlign w:val="center"/>
          </w:tcPr>
          <w:p w:rsidR="00790907" w:rsidRPr="00461D21" w:rsidRDefault="00790907" w:rsidP="00A12845">
            <w:pPr>
              <w:pStyle w:val="ListParagraph"/>
              <w:widowControl w:val="0"/>
              <w:numPr>
                <w:ilvl w:val="0"/>
                <w:numId w:val="2"/>
              </w:numPr>
              <w:autoSpaceDE w:val="0"/>
              <w:autoSpaceDN w:val="0"/>
              <w:ind w:left="504" w:right="93"/>
              <w:rPr>
                <w:rFonts w:eastAsia="Calibri" w:cstheme="minorHAnsi"/>
                <w:b/>
                <w:kern w:val="0"/>
                <w:sz w:val="18"/>
                <w:szCs w:val="18"/>
                <w:lang w:val="en-US"/>
                <w14:ligatures w14:val="none"/>
              </w:rPr>
            </w:pPr>
          </w:p>
        </w:tc>
        <w:tc>
          <w:tcPr>
            <w:tcW w:w="1440" w:type="dxa"/>
            <w:vMerge/>
            <w:shd w:val="clear" w:color="auto" w:fill="auto"/>
          </w:tcPr>
          <w:p w:rsidR="00790907" w:rsidRPr="00461D21" w:rsidRDefault="00790907" w:rsidP="00461D21">
            <w:pPr>
              <w:pStyle w:val="TableParagraph"/>
              <w:ind w:left="144"/>
              <w:rPr>
                <w:rFonts w:asciiTheme="minorHAnsi" w:hAnsiTheme="minorHAnsi" w:cstheme="minorHAnsi"/>
                <w:sz w:val="18"/>
                <w:szCs w:val="18"/>
              </w:rPr>
            </w:pPr>
          </w:p>
        </w:tc>
        <w:tc>
          <w:tcPr>
            <w:tcW w:w="4639" w:type="dxa"/>
            <w:shd w:val="clear" w:color="auto" w:fill="auto"/>
            <w:vAlign w:val="center"/>
          </w:tcPr>
          <w:p w:rsidR="00790907" w:rsidRPr="00461D21" w:rsidRDefault="00790907" w:rsidP="00790907">
            <w:pPr>
              <w:pStyle w:val="TableParagraph"/>
              <w:spacing w:before="60" w:after="60"/>
              <w:ind w:left="226"/>
              <w:jc w:val="both"/>
              <w:rPr>
                <w:sz w:val="18"/>
                <w:szCs w:val="18"/>
              </w:rPr>
            </w:pPr>
            <w:r>
              <w:t>3. In the event of a Non-CAA certified DG Freight Forwarder/Cargo Agent attends to offer general cargo, there must be a valid contractual agreement between these entities and a CAA certified Freight Forwarder stating the agreed roles and responsibilities of both parties.</w:t>
            </w:r>
          </w:p>
        </w:tc>
        <w:tc>
          <w:tcPr>
            <w:tcW w:w="833" w:type="dxa"/>
            <w:shd w:val="clear" w:color="auto" w:fill="auto"/>
            <w:vAlign w:val="center"/>
          </w:tcPr>
          <w:p w:rsidR="00790907" w:rsidRPr="003F3BDE" w:rsidRDefault="00790907"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790907" w:rsidRPr="003F3BDE" w:rsidRDefault="00790907"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790907" w:rsidRPr="003F3BDE" w:rsidRDefault="00790907"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790907" w:rsidRPr="003F3BDE" w:rsidRDefault="00790907" w:rsidP="00461D21">
            <w:pPr>
              <w:widowControl w:val="0"/>
              <w:autoSpaceDE w:val="0"/>
              <w:autoSpaceDN w:val="0"/>
              <w:jc w:val="center"/>
              <w:rPr>
                <w:rFonts w:eastAsia="Calibri" w:cstheme="minorHAnsi"/>
                <w:b/>
                <w:kern w:val="0"/>
                <w:sz w:val="22"/>
                <w:szCs w:val="22"/>
                <w:lang w:val="en-US"/>
                <w14:ligatures w14:val="none"/>
              </w:rPr>
            </w:pPr>
          </w:p>
        </w:tc>
      </w:tr>
      <w:tr w:rsidR="00790907" w:rsidRPr="003F3BDE" w:rsidTr="008C6CDF">
        <w:trPr>
          <w:trHeight w:val="864"/>
        </w:trPr>
        <w:tc>
          <w:tcPr>
            <w:tcW w:w="576" w:type="dxa"/>
            <w:shd w:val="clear" w:color="auto" w:fill="auto"/>
            <w:vAlign w:val="center"/>
          </w:tcPr>
          <w:p w:rsidR="00790907" w:rsidRPr="00461D21" w:rsidRDefault="00790907" w:rsidP="00A12845">
            <w:pPr>
              <w:pStyle w:val="ListParagraph"/>
              <w:widowControl w:val="0"/>
              <w:numPr>
                <w:ilvl w:val="0"/>
                <w:numId w:val="2"/>
              </w:numPr>
              <w:autoSpaceDE w:val="0"/>
              <w:autoSpaceDN w:val="0"/>
              <w:ind w:left="504" w:right="93"/>
              <w:rPr>
                <w:rFonts w:eastAsia="Calibri" w:cstheme="minorHAnsi"/>
                <w:b/>
                <w:kern w:val="0"/>
                <w:sz w:val="18"/>
                <w:szCs w:val="18"/>
                <w:lang w:val="en-US"/>
                <w14:ligatures w14:val="none"/>
              </w:rPr>
            </w:pPr>
          </w:p>
        </w:tc>
        <w:tc>
          <w:tcPr>
            <w:tcW w:w="1440" w:type="dxa"/>
            <w:vMerge/>
            <w:shd w:val="clear" w:color="auto" w:fill="auto"/>
          </w:tcPr>
          <w:p w:rsidR="00790907" w:rsidRPr="00461D21" w:rsidRDefault="00790907" w:rsidP="00461D21">
            <w:pPr>
              <w:pStyle w:val="TableParagraph"/>
              <w:ind w:left="144"/>
              <w:rPr>
                <w:rFonts w:asciiTheme="minorHAnsi" w:hAnsiTheme="minorHAnsi" w:cstheme="minorHAnsi"/>
                <w:sz w:val="18"/>
                <w:szCs w:val="18"/>
              </w:rPr>
            </w:pPr>
          </w:p>
        </w:tc>
        <w:tc>
          <w:tcPr>
            <w:tcW w:w="4639" w:type="dxa"/>
            <w:shd w:val="clear" w:color="auto" w:fill="auto"/>
            <w:vAlign w:val="center"/>
          </w:tcPr>
          <w:p w:rsidR="00790907" w:rsidRPr="00461D21" w:rsidRDefault="00790907" w:rsidP="00790907">
            <w:pPr>
              <w:pStyle w:val="TableParagraph"/>
              <w:spacing w:before="60" w:after="60"/>
              <w:ind w:left="136" w:right="102"/>
              <w:jc w:val="both"/>
              <w:rPr>
                <w:sz w:val="18"/>
                <w:szCs w:val="18"/>
              </w:rPr>
            </w:pPr>
            <w:r>
              <w:t xml:space="preserve"> 4. The Handling Information box of the Air Waybill shall bear the certificate number issued to the certified entity by the CAA. </w:t>
            </w:r>
          </w:p>
        </w:tc>
        <w:tc>
          <w:tcPr>
            <w:tcW w:w="833" w:type="dxa"/>
            <w:shd w:val="clear" w:color="auto" w:fill="auto"/>
            <w:vAlign w:val="center"/>
          </w:tcPr>
          <w:p w:rsidR="00790907" w:rsidRPr="003F3BDE" w:rsidRDefault="00790907"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790907" w:rsidRPr="003F3BDE" w:rsidRDefault="00790907"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790907" w:rsidRPr="003F3BDE" w:rsidRDefault="00790907"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790907" w:rsidRPr="003F3BDE" w:rsidRDefault="00790907" w:rsidP="00461D21">
            <w:pPr>
              <w:widowControl w:val="0"/>
              <w:autoSpaceDE w:val="0"/>
              <w:autoSpaceDN w:val="0"/>
              <w:jc w:val="center"/>
              <w:rPr>
                <w:rFonts w:eastAsia="Calibri" w:cstheme="minorHAnsi"/>
                <w:b/>
                <w:kern w:val="0"/>
                <w:sz w:val="22"/>
                <w:szCs w:val="22"/>
                <w:lang w:val="en-US"/>
                <w14:ligatures w14:val="none"/>
              </w:rPr>
            </w:pPr>
          </w:p>
        </w:tc>
      </w:tr>
      <w:tr w:rsidR="00790907" w:rsidRPr="003F3BDE" w:rsidTr="008C6CDF">
        <w:trPr>
          <w:trHeight w:val="576"/>
        </w:trPr>
        <w:tc>
          <w:tcPr>
            <w:tcW w:w="576" w:type="dxa"/>
            <w:shd w:val="clear" w:color="auto" w:fill="auto"/>
            <w:vAlign w:val="center"/>
          </w:tcPr>
          <w:p w:rsidR="00790907" w:rsidRPr="00461D21" w:rsidRDefault="00790907" w:rsidP="00461D21">
            <w:pPr>
              <w:pStyle w:val="ListParagraph"/>
              <w:widowControl w:val="0"/>
              <w:numPr>
                <w:ilvl w:val="0"/>
                <w:numId w:val="2"/>
              </w:numPr>
              <w:autoSpaceDE w:val="0"/>
              <w:autoSpaceDN w:val="0"/>
              <w:ind w:left="504" w:right="172"/>
              <w:rPr>
                <w:rFonts w:eastAsia="Calibri" w:cstheme="minorHAnsi"/>
                <w:b/>
                <w:kern w:val="0"/>
                <w:sz w:val="18"/>
                <w:szCs w:val="18"/>
                <w:lang w:val="en-US"/>
                <w14:ligatures w14:val="none"/>
              </w:rPr>
            </w:pPr>
          </w:p>
        </w:tc>
        <w:tc>
          <w:tcPr>
            <w:tcW w:w="1440" w:type="dxa"/>
            <w:vMerge/>
            <w:shd w:val="clear" w:color="auto" w:fill="auto"/>
          </w:tcPr>
          <w:p w:rsidR="00790907" w:rsidRPr="00461D21" w:rsidRDefault="00790907" w:rsidP="00461D21">
            <w:pPr>
              <w:spacing w:before="40" w:after="40"/>
              <w:ind w:left="144" w:right="87"/>
              <w:rPr>
                <w:rFonts w:cstheme="minorHAnsi"/>
                <w:sz w:val="18"/>
                <w:szCs w:val="18"/>
              </w:rPr>
            </w:pPr>
          </w:p>
        </w:tc>
        <w:tc>
          <w:tcPr>
            <w:tcW w:w="4639" w:type="dxa"/>
            <w:shd w:val="clear" w:color="auto" w:fill="auto"/>
            <w:vAlign w:val="center"/>
          </w:tcPr>
          <w:p w:rsidR="00790907" w:rsidRPr="00461D21" w:rsidRDefault="00790907" w:rsidP="00790907">
            <w:pPr>
              <w:pStyle w:val="TableParagraph"/>
              <w:spacing w:before="60" w:after="60" w:line="196" w:lineRule="exact"/>
              <w:ind w:left="136" w:hanging="45"/>
              <w:jc w:val="both"/>
              <w:rPr>
                <w:sz w:val="18"/>
                <w:szCs w:val="18"/>
              </w:rPr>
            </w:pPr>
            <w:r>
              <w:rPr>
                <w:lang w:val="en-IN"/>
              </w:rPr>
              <w:t xml:space="preserve">5 </w:t>
            </w:r>
            <w:r>
              <w:t>All National Air Operators shall strengthen and reinforce the auditing system affecting all ground handling service providers subcontracted.</w:t>
            </w:r>
          </w:p>
        </w:tc>
        <w:tc>
          <w:tcPr>
            <w:tcW w:w="833" w:type="dxa"/>
            <w:shd w:val="clear" w:color="auto" w:fill="auto"/>
            <w:vAlign w:val="center"/>
          </w:tcPr>
          <w:p w:rsidR="00790907" w:rsidRPr="003F3BDE" w:rsidRDefault="00790907"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790907" w:rsidRPr="003F3BDE" w:rsidRDefault="00790907"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790907" w:rsidRPr="003F3BDE" w:rsidRDefault="00790907"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790907" w:rsidRPr="003F3BDE" w:rsidRDefault="00790907" w:rsidP="00461D21">
            <w:pPr>
              <w:widowControl w:val="0"/>
              <w:autoSpaceDE w:val="0"/>
              <w:autoSpaceDN w:val="0"/>
              <w:jc w:val="center"/>
              <w:rPr>
                <w:rFonts w:eastAsia="Calibri" w:cstheme="minorHAnsi"/>
                <w:b/>
                <w:kern w:val="0"/>
                <w:sz w:val="22"/>
                <w:szCs w:val="22"/>
                <w:lang w:val="en-US"/>
                <w14:ligatures w14:val="none"/>
              </w:rPr>
            </w:pPr>
          </w:p>
        </w:tc>
      </w:tr>
      <w:tr w:rsidR="00790907" w:rsidRPr="003F3BDE" w:rsidTr="008C6CDF">
        <w:trPr>
          <w:trHeight w:val="432"/>
        </w:trPr>
        <w:tc>
          <w:tcPr>
            <w:tcW w:w="576" w:type="dxa"/>
            <w:shd w:val="clear" w:color="auto" w:fill="auto"/>
            <w:vAlign w:val="center"/>
          </w:tcPr>
          <w:p w:rsidR="00790907" w:rsidRPr="00461D21" w:rsidRDefault="00790907" w:rsidP="00461D21">
            <w:pPr>
              <w:pStyle w:val="ListParagraph"/>
              <w:widowControl w:val="0"/>
              <w:numPr>
                <w:ilvl w:val="0"/>
                <w:numId w:val="2"/>
              </w:numPr>
              <w:autoSpaceDE w:val="0"/>
              <w:autoSpaceDN w:val="0"/>
              <w:ind w:left="504" w:right="172"/>
              <w:rPr>
                <w:rFonts w:eastAsia="Calibri" w:cstheme="minorHAnsi"/>
                <w:b/>
                <w:kern w:val="0"/>
                <w:sz w:val="18"/>
                <w:szCs w:val="18"/>
                <w:lang w:val="en-US"/>
                <w14:ligatures w14:val="none"/>
              </w:rPr>
            </w:pPr>
          </w:p>
        </w:tc>
        <w:tc>
          <w:tcPr>
            <w:tcW w:w="1440" w:type="dxa"/>
            <w:vMerge/>
            <w:shd w:val="clear" w:color="auto" w:fill="auto"/>
          </w:tcPr>
          <w:p w:rsidR="00790907" w:rsidRPr="00461D21" w:rsidRDefault="00790907" w:rsidP="00A12845">
            <w:pPr>
              <w:pStyle w:val="TableParagraph"/>
              <w:spacing w:before="120" w:after="60"/>
              <w:ind w:left="144" w:right="114"/>
              <w:rPr>
                <w:sz w:val="18"/>
                <w:szCs w:val="18"/>
              </w:rPr>
            </w:pPr>
          </w:p>
        </w:tc>
        <w:tc>
          <w:tcPr>
            <w:tcW w:w="4639" w:type="dxa"/>
            <w:shd w:val="clear" w:color="auto" w:fill="auto"/>
            <w:vAlign w:val="center"/>
          </w:tcPr>
          <w:p w:rsidR="00790907" w:rsidRPr="00461D21" w:rsidRDefault="00790907" w:rsidP="00790907">
            <w:pPr>
              <w:pStyle w:val="TableParagraph"/>
              <w:spacing w:before="60" w:after="60"/>
              <w:ind w:left="136" w:right="104"/>
              <w:jc w:val="both"/>
              <w:rPr>
                <w:sz w:val="18"/>
                <w:szCs w:val="18"/>
              </w:rPr>
            </w:pPr>
            <w:r>
              <w:t>6. As part of the Management of External interfaces, all Omani Air operators shall strengthen the SMS implementation in cargo operations including Dangerous Goods area in consideration of the subcontracted ground handling service provider(s).</w:t>
            </w:r>
          </w:p>
        </w:tc>
        <w:tc>
          <w:tcPr>
            <w:tcW w:w="833" w:type="dxa"/>
            <w:shd w:val="clear" w:color="auto" w:fill="auto"/>
            <w:vAlign w:val="center"/>
          </w:tcPr>
          <w:p w:rsidR="00790907" w:rsidRPr="003F3BDE" w:rsidRDefault="00790907"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790907" w:rsidRPr="003F3BDE" w:rsidRDefault="00790907"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790907" w:rsidRPr="003F3BDE" w:rsidRDefault="00790907"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790907" w:rsidRPr="003F3BDE" w:rsidRDefault="00790907" w:rsidP="00461D21">
            <w:pPr>
              <w:widowControl w:val="0"/>
              <w:autoSpaceDE w:val="0"/>
              <w:autoSpaceDN w:val="0"/>
              <w:jc w:val="center"/>
              <w:rPr>
                <w:rFonts w:eastAsia="Calibri" w:cstheme="minorHAnsi"/>
                <w:b/>
                <w:kern w:val="0"/>
                <w:sz w:val="22"/>
                <w:szCs w:val="22"/>
                <w:lang w:val="en-US"/>
                <w14:ligatures w14:val="none"/>
              </w:rPr>
            </w:pPr>
          </w:p>
        </w:tc>
      </w:tr>
      <w:tr w:rsidR="00790907" w:rsidRPr="003F3BDE" w:rsidTr="008C6CDF">
        <w:trPr>
          <w:trHeight w:val="432"/>
        </w:trPr>
        <w:tc>
          <w:tcPr>
            <w:tcW w:w="576" w:type="dxa"/>
            <w:shd w:val="clear" w:color="auto" w:fill="auto"/>
            <w:vAlign w:val="center"/>
          </w:tcPr>
          <w:p w:rsidR="00790907" w:rsidRPr="00461D21" w:rsidRDefault="00790907" w:rsidP="00461D21">
            <w:pPr>
              <w:pStyle w:val="ListParagraph"/>
              <w:widowControl w:val="0"/>
              <w:numPr>
                <w:ilvl w:val="0"/>
                <w:numId w:val="2"/>
              </w:numPr>
              <w:autoSpaceDE w:val="0"/>
              <w:autoSpaceDN w:val="0"/>
              <w:ind w:left="504" w:right="172"/>
              <w:rPr>
                <w:rFonts w:eastAsia="Calibri" w:cstheme="minorHAnsi"/>
                <w:b/>
                <w:kern w:val="0"/>
                <w:sz w:val="18"/>
                <w:szCs w:val="18"/>
                <w:lang w:val="en-US"/>
                <w14:ligatures w14:val="none"/>
              </w:rPr>
            </w:pPr>
          </w:p>
        </w:tc>
        <w:tc>
          <w:tcPr>
            <w:tcW w:w="1440" w:type="dxa"/>
            <w:vMerge/>
            <w:shd w:val="clear" w:color="auto" w:fill="auto"/>
          </w:tcPr>
          <w:p w:rsidR="00790907" w:rsidRPr="00461D21" w:rsidRDefault="00790907" w:rsidP="00461D21">
            <w:pPr>
              <w:spacing w:before="40" w:after="40"/>
              <w:ind w:left="144" w:right="232"/>
              <w:rPr>
                <w:rFonts w:cstheme="minorHAnsi"/>
                <w:sz w:val="18"/>
                <w:szCs w:val="18"/>
              </w:rPr>
            </w:pPr>
          </w:p>
        </w:tc>
        <w:tc>
          <w:tcPr>
            <w:tcW w:w="4639" w:type="dxa"/>
            <w:shd w:val="clear" w:color="auto" w:fill="auto"/>
            <w:vAlign w:val="center"/>
          </w:tcPr>
          <w:p w:rsidR="00790907" w:rsidRPr="00461D21" w:rsidRDefault="00790907" w:rsidP="00A12845">
            <w:pPr>
              <w:pStyle w:val="TableParagraph"/>
              <w:spacing w:before="60" w:after="60"/>
              <w:ind w:left="100"/>
              <w:rPr>
                <w:sz w:val="18"/>
                <w:szCs w:val="18"/>
              </w:rPr>
            </w:pPr>
            <w:r>
              <w:rPr>
                <w:b/>
                <w:bCs/>
                <w:sz w:val="18"/>
                <w:szCs w:val="18"/>
              </w:rPr>
              <w:t>7</w:t>
            </w:r>
            <w:r>
              <w:t>.All national Air operators are required during the upcoming oversight cycle to strength and reinforce the auditing and inspections activities to the outstation subcontracted ground handling service provider in the cargo including Dangerous Goods and ground operations streams with providing to the CAA the system to be deployed to address the aforementioned by 1st May 2024.</w:t>
            </w:r>
          </w:p>
        </w:tc>
        <w:tc>
          <w:tcPr>
            <w:tcW w:w="833" w:type="dxa"/>
            <w:shd w:val="clear" w:color="auto" w:fill="auto"/>
            <w:vAlign w:val="center"/>
          </w:tcPr>
          <w:p w:rsidR="00790907" w:rsidRPr="003F3BDE" w:rsidRDefault="00790907"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790907" w:rsidRPr="003F3BDE" w:rsidRDefault="00790907"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790907" w:rsidRPr="003F3BDE" w:rsidRDefault="00790907"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790907" w:rsidRPr="003F3BDE" w:rsidRDefault="00790907" w:rsidP="00461D21">
            <w:pPr>
              <w:widowControl w:val="0"/>
              <w:autoSpaceDE w:val="0"/>
              <w:autoSpaceDN w:val="0"/>
              <w:jc w:val="center"/>
              <w:rPr>
                <w:rFonts w:eastAsia="Calibri" w:cstheme="minorHAnsi"/>
                <w:b/>
                <w:kern w:val="0"/>
                <w:sz w:val="22"/>
                <w:szCs w:val="22"/>
                <w:lang w:val="en-US"/>
                <w14:ligatures w14:val="none"/>
              </w:rPr>
            </w:pPr>
          </w:p>
        </w:tc>
      </w:tr>
      <w:tr w:rsidR="00271A0A" w:rsidRPr="003F3BDE" w:rsidTr="008C6CDF">
        <w:trPr>
          <w:trHeight w:val="432"/>
        </w:trPr>
        <w:tc>
          <w:tcPr>
            <w:tcW w:w="576" w:type="dxa"/>
            <w:shd w:val="clear" w:color="auto" w:fill="auto"/>
            <w:vAlign w:val="center"/>
          </w:tcPr>
          <w:p w:rsidR="00271A0A" w:rsidRPr="00461D21" w:rsidRDefault="00271A0A" w:rsidP="00461D21">
            <w:pPr>
              <w:pStyle w:val="ListParagraph"/>
              <w:widowControl w:val="0"/>
              <w:numPr>
                <w:ilvl w:val="0"/>
                <w:numId w:val="2"/>
              </w:numPr>
              <w:autoSpaceDE w:val="0"/>
              <w:autoSpaceDN w:val="0"/>
              <w:ind w:left="504" w:right="172"/>
              <w:rPr>
                <w:rFonts w:eastAsia="Calibri" w:cstheme="minorHAnsi"/>
                <w:b/>
                <w:kern w:val="0"/>
                <w:sz w:val="18"/>
                <w:szCs w:val="18"/>
                <w:lang w:val="en-US"/>
                <w14:ligatures w14:val="none"/>
              </w:rPr>
            </w:pPr>
          </w:p>
        </w:tc>
        <w:tc>
          <w:tcPr>
            <w:tcW w:w="1440" w:type="dxa"/>
            <w:vMerge w:val="restart"/>
            <w:shd w:val="clear" w:color="auto" w:fill="auto"/>
          </w:tcPr>
          <w:p w:rsidR="00271A0A" w:rsidRDefault="00271A0A" w:rsidP="00271A0A">
            <w:pPr>
              <w:pStyle w:val="TableParagraph"/>
              <w:spacing w:before="60" w:after="60"/>
              <w:ind w:left="-144" w:right="115" w:firstLine="280"/>
              <w:rPr>
                <w:sz w:val="18"/>
                <w:szCs w:val="18"/>
              </w:rPr>
            </w:pPr>
            <w:r>
              <w:rPr>
                <w:sz w:val="18"/>
                <w:szCs w:val="18"/>
              </w:rPr>
              <w:t>CAD 02-02</w:t>
            </w:r>
          </w:p>
          <w:p w:rsidR="00271A0A" w:rsidRPr="00461D21" w:rsidRDefault="00271A0A" w:rsidP="00271A0A">
            <w:pPr>
              <w:spacing w:before="40" w:after="40"/>
              <w:ind w:left="144" w:right="232"/>
              <w:rPr>
                <w:rFonts w:cstheme="minorHAnsi"/>
                <w:sz w:val="18"/>
                <w:szCs w:val="18"/>
              </w:rPr>
            </w:pPr>
            <w:r>
              <w:rPr>
                <w:sz w:val="18"/>
                <w:szCs w:val="18"/>
              </w:rPr>
              <w:t>Section E</w:t>
            </w:r>
          </w:p>
        </w:tc>
        <w:tc>
          <w:tcPr>
            <w:tcW w:w="4639" w:type="dxa"/>
            <w:shd w:val="clear" w:color="auto" w:fill="auto"/>
            <w:vAlign w:val="center"/>
          </w:tcPr>
          <w:p w:rsidR="00271A0A" w:rsidRDefault="00271A0A" w:rsidP="00A12845">
            <w:pPr>
              <w:pStyle w:val="TableParagraph"/>
              <w:spacing w:before="60" w:after="60"/>
              <w:ind w:left="100"/>
              <w:rPr>
                <w:b/>
                <w:bCs/>
                <w:sz w:val="18"/>
                <w:szCs w:val="18"/>
              </w:rPr>
            </w:pPr>
            <w:r>
              <w:t>1. Effective 1st May 2024, all entities shall document and implement an accurate tracking system to follow up the status of the shipment.</w:t>
            </w:r>
          </w:p>
        </w:tc>
        <w:tc>
          <w:tcPr>
            <w:tcW w:w="833" w:type="dxa"/>
            <w:shd w:val="clear" w:color="auto" w:fill="auto"/>
            <w:vAlign w:val="center"/>
          </w:tcPr>
          <w:p w:rsidR="00271A0A" w:rsidRPr="003F3BDE" w:rsidRDefault="00271A0A"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271A0A" w:rsidRPr="003F3BDE" w:rsidRDefault="00271A0A"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271A0A" w:rsidRPr="003F3BDE" w:rsidRDefault="00271A0A"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271A0A" w:rsidRPr="003F3BDE" w:rsidRDefault="00271A0A" w:rsidP="00461D21">
            <w:pPr>
              <w:widowControl w:val="0"/>
              <w:autoSpaceDE w:val="0"/>
              <w:autoSpaceDN w:val="0"/>
              <w:jc w:val="center"/>
              <w:rPr>
                <w:rFonts w:eastAsia="Calibri" w:cstheme="minorHAnsi"/>
                <w:b/>
                <w:kern w:val="0"/>
                <w:sz w:val="22"/>
                <w:szCs w:val="22"/>
                <w:lang w:val="en-US"/>
                <w14:ligatures w14:val="none"/>
              </w:rPr>
            </w:pPr>
          </w:p>
        </w:tc>
      </w:tr>
      <w:tr w:rsidR="00271A0A" w:rsidRPr="003F3BDE" w:rsidTr="008C6CDF">
        <w:trPr>
          <w:trHeight w:val="432"/>
        </w:trPr>
        <w:tc>
          <w:tcPr>
            <w:tcW w:w="576" w:type="dxa"/>
            <w:shd w:val="clear" w:color="auto" w:fill="auto"/>
            <w:vAlign w:val="center"/>
          </w:tcPr>
          <w:p w:rsidR="00271A0A" w:rsidRPr="00461D21" w:rsidRDefault="00271A0A" w:rsidP="00461D21">
            <w:pPr>
              <w:pStyle w:val="ListParagraph"/>
              <w:widowControl w:val="0"/>
              <w:numPr>
                <w:ilvl w:val="0"/>
                <w:numId w:val="2"/>
              </w:numPr>
              <w:autoSpaceDE w:val="0"/>
              <w:autoSpaceDN w:val="0"/>
              <w:ind w:left="504" w:right="172"/>
              <w:rPr>
                <w:rFonts w:eastAsia="Calibri" w:cstheme="minorHAnsi"/>
                <w:b/>
                <w:kern w:val="0"/>
                <w:sz w:val="18"/>
                <w:szCs w:val="18"/>
                <w:lang w:val="en-US"/>
                <w14:ligatures w14:val="none"/>
              </w:rPr>
            </w:pPr>
          </w:p>
        </w:tc>
        <w:tc>
          <w:tcPr>
            <w:tcW w:w="1440" w:type="dxa"/>
            <w:vMerge/>
            <w:shd w:val="clear" w:color="auto" w:fill="auto"/>
          </w:tcPr>
          <w:p w:rsidR="00271A0A" w:rsidRPr="00461D21" w:rsidRDefault="00271A0A" w:rsidP="00461D21">
            <w:pPr>
              <w:spacing w:before="40" w:after="40"/>
              <w:ind w:left="144" w:right="232"/>
              <w:rPr>
                <w:rFonts w:cstheme="minorHAnsi"/>
                <w:sz w:val="18"/>
                <w:szCs w:val="18"/>
              </w:rPr>
            </w:pPr>
          </w:p>
        </w:tc>
        <w:tc>
          <w:tcPr>
            <w:tcW w:w="4639" w:type="dxa"/>
            <w:shd w:val="clear" w:color="auto" w:fill="auto"/>
            <w:vAlign w:val="center"/>
          </w:tcPr>
          <w:p w:rsidR="00271A0A" w:rsidRDefault="00271A0A" w:rsidP="00A12845">
            <w:pPr>
              <w:pStyle w:val="TableParagraph"/>
              <w:spacing w:before="60" w:after="60"/>
              <w:ind w:left="100"/>
              <w:rPr>
                <w:b/>
                <w:bCs/>
                <w:sz w:val="18"/>
                <w:szCs w:val="18"/>
              </w:rPr>
            </w:pPr>
            <w:r>
              <w:rPr>
                <w:lang w:val="en-IN"/>
              </w:rPr>
              <w:t>2.</w:t>
            </w:r>
            <w:r>
              <w:t>Effective 1st May 2024, cargo imports section shall set up and implement a system to alert the consignee/airlines as a minimum of two days before the end of the 7 days stated in the DGR State Variation OMG-07. 11</w:t>
            </w:r>
          </w:p>
        </w:tc>
        <w:tc>
          <w:tcPr>
            <w:tcW w:w="833" w:type="dxa"/>
            <w:shd w:val="clear" w:color="auto" w:fill="auto"/>
            <w:vAlign w:val="center"/>
          </w:tcPr>
          <w:p w:rsidR="00271A0A" w:rsidRPr="003F3BDE" w:rsidRDefault="00271A0A"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271A0A" w:rsidRPr="003F3BDE" w:rsidRDefault="00271A0A"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271A0A" w:rsidRPr="003F3BDE" w:rsidRDefault="00271A0A"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271A0A" w:rsidRPr="003F3BDE" w:rsidRDefault="00271A0A" w:rsidP="00461D21">
            <w:pPr>
              <w:widowControl w:val="0"/>
              <w:autoSpaceDE w:val="0"/>
              <w:autoSpaceDN w:val="0"/>
              <w:jc w:val="center"/>
              <w:rPr>
                <w:rFonts w:eastAsia="Calibri" w:cstheme="minorHAnsi"/>
                <w:b/>
                <w:kern w:val="0"/>
                <w:sz w:val="22"/>
                <w:szCs w:val="22"/>
                <w:lang w:val="en-US"/>
                <w14:ligatures w14:val="none"/>
              </w:rPr>
            </w:pPr>
          </w:p>
        </w:tc>
      </w:tr>
      <w:tr w:rsidR="00271A0A" w:rsidRPr="003F3BDE" w:rsidTr="008C6CDF">
        <w:trPr>
          <w:trHeight w:val="432"/>
        </w:trPr>
        <w:tc>
          <w:tcPr>
            <w:tcW w:w="576" w:type="dxa"/>
            <w:shd w:val="clear" w:color="auto" w:fill="auto"/>
            <w:vAlign w:val="center"/>
          </w:tcPr>
          <w:p w:rsidR="00271A0A" w:rsidRPr="00461D21" w:rsidRDefault="00271A0A" w:rsidP="00461D21">
            <w:pPr>
              <w:pStyle w:val="ListParagraph"/>
              <w:widowControl w:val="0"/>
              <w:numPr>
                <w:ilvl w:val="0"/>
                <w:numId w:val="2"/>
              </w:numPr>
              <w:autoSpaceDE w:val="0"/>
              <w:autoSpaceDN w:val="0"/>
              <w:ind w:left="504" w:right="172"/>
              <w:rPr>
                <w:rFonts w:eastAsia="Calibri" w:cstheme="minorHAnsi"/>
                <w:b/>
                <w:kern w:val="0"/>
                <w:sz w:val="18"/>
                <w:szCs w:val="18"/>
                <w:lang w:val="en-US"/>
                <w14:ligatures w14:val="none"/>
              </w:rPr>
            </w:pPr>
          </w:p>
        </w:tc>
        <w:tc>
          <w:tcPr>
            <w:tcW w:w="1440" w:type="dxa"/>
            <w:vMerge/>
            <w:shd w:val="clear" w:color="auto" w:fill="auto"/>
          </w:tcPr>
          <w:p w:rsidR="00271A0A" w:rsidRPr="00461D21" w:rsidRDefault="00271A0A" w:rsidP="00461D21">
            <w:pPr>
              <w:spacing w:before="40" w:after="40"/>
              <w:ind w:left="144" w:right="232"/>
              <w:rPr>
                <w:rFonts w:cstheme="minorHAnsi"/>
                <w:sz w:val="18"/>
                <w:szCs w:val="18"/>
              </w:rPr>
            </w:pPr>
          </w:p>
        </w:tc>
        <w:tc>
          <w:tcPr>
            <w:tcW w:w="4639" w:type="dxa"/>
            <w:shd w:val="clear" w:color="auto" w:fill="auto"/>
            <w:vAlign w:val="center"/>
          </w:tcPr>
          <w:p w:rsidR="00271A0A" w:rsidRDefault="00271A0A" w:rsidP="00A12845">
            <w:pPr>
              <w:pStyle w:val="TableParagraph"/>
              <w:spacing w:before="60" w:after="60"/>
              <w:ind w:left="100"/>
              <w:rPr>
                <w:b/>
                <w:bCs/>
                <w:sz w:val="18"/>
                <w:szCs w:val="18"/>
              </w:rPr>
            </w:pPr>
            <w:r>
              <w:t>3.The operator shall be responsible to coordinate with the shipper to return any unclaimed Dangerous Goods shipment(s) to the State of Origin without any delay.</w:t>
            </w:r>
          </w:p>
        </w:tc>
        <w:tc>
          <w:tcPr>
            <w:tcW w:w="833" w:type="dxa"/>
            <w:shd w:val="clear" w:color="auto" w:fill="auto"/>
            <w:vAlign w:val="center"/>
          </w:tcPr>
          <w:p w:rsidR="00271A0A" w:rsidRPr="003F3BDE" w:rsidRDefault="00271A0A"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271A0A" w:rsidRPr="003F3BDE" w:rsidRDefault="00271A0A"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271A0A" w:rsidRPr="003F3BDE" w:rsidRDefault="00271A0A"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271A0A" w:rsidRPr="003F3BDE" w:rsidRDefault="00271A0A" w:rsidP="00461D21">
            <w:pPr>
              <w:widowControl w:val="0"/>
              <w:autoSpaceDE w:val="0"/>
              <w:autoSpaceDN w:val="0"/>
              <w:jc w:val="center"/>
              <w:rPr>
                <w:rFonts w:eastAsia="Calibri" w:cstheme="minorHAnsi"/>
                <w:b/>
                <w:kern w:val="0"/>
                <w:sz w:val="22"/>
                <w:szCs w:val="22"/>
                <w:lang w:val="en-US"/>
                <w14:ligatures w14:val="none"/>
              </w:rPr>
            </w:pPr>
          </w:p>
        </w:tc>
      </w:tr>
      <w:tr w:rsidR="00271A0A" w:rsidRPr="003F3BDE" w:rsidTr="008C6CDF">
        <w:trPr>
          <w:trHeight w:val="432"/>
        </w:trPr>
        <w:tc>
          <w:tcPr>
            <w:tcW w:w="576" w:type="dxa"/>
            <w:shd w:val="clear" w:color="auto" w:fill="auto"/>
            <w:vAlign w:val="center"/>
          </w:tcPr>
          <w:p w:rsidR="00271A0A" w:rsidRPr="00461D21" w:rsidRDefault="00271A0A" w:rsidP="00461D21">
            <w:pPr>
              <w:pStyle w:val="ListParagraph"/>
              <w:widowControl w:val="0"/>
              <w:numPr>
                <w:ilvl w:val="0"/>
                <w:numId w:val="2"/>
              </w:numPr>
              <w:autoSpaceDE w:val="0"/>
              <w:autoSpaceDN w:val="0"/>
              <w:ind w:left="504" w:right="172"/>
              <w:rPr>
                <w:rFonts w:eastAsia="Calibri" w:cstheme="minorHAnsi"/>
                <w:b/>
                <w:kern w:val="0"/>
                <w:sz w:val="18"/>
                <w:szCs w:val="18"/>
                <w:lang w:val="en-US"/>
                <w14:ligatures w14:val="none"/>
              </w:rPr>
            </w:pPr>
          </w:p>
        </w:tc>
        <w:tc>
          <w:tcPr>
            <w:tcW w:w="1440" w:type="dxa"/>
            <w:vMerge/>
            <w:shd w:val="clear" w:color="auto" w:fill="auto"/>
          </w:tcPr>
          <w:p w:rsidR="00271A0A" w:rsidRPr="00461D21" w:rsidRDefault="00271A0A" w:rsidP="00461D21">
            <w:pPr>
              <w:spacing w:before="40" w:after="40"/>
              <w:ind w:left="144" w:right="232"/>
              <w:rPr>
                <w:rFonts w:cstheme="minorHAnsi"/>
                <w:sz w:val="18"/>
                <w:szCs w:val="18"/>
              </w:rPr>
            </w:pPr>
          </w:p>
        </w:tc>
        <w:tc>
          <w:tcPr>
            <w:tcW w:w="4639" w:type="dxa"/>
            <w:shd w:val="clear" w:color="auto" w:fill="auto"/>
            <w:vAlign w:val="center"/>
          </w:tcPr>
          <w:p w:rsidR="00271A0A" w:rsidRDefault="00271A0A" w:rsidP="00A12845">
            <w:pPr>
              <w:pStyle w:val="TableParagraph"/>
              <w:spacing w:before="60" w:after="60"/>
              <w:ind w:left="100"/>
              <w:rPr>
                <w:b/>
                <w:bCs/>
                <w:sz w:val="18"/>
                <w:szCs w:val="18"/>
              </w:rPr>
            </w:pPr>
            <w:r>
              <w:t>4.The shipper of Dangerous Goods must provide a written undertaking to re-ship the consignment at the shipper’s cost and risk enforcement action if the shipment is not cleared and received by the consignee within the timeframe mentioned in 9.1 and 10.1.</w:t>
            </w:r>
          </w:p>
        </w:tc>
        <w:tc>
          <w:tcPr>
            <w:tcW w:w="833" w:type="dxa"/>
            <w:shd w:val="clear" w:color="auto" w:fill="auto"/>
            <w:vAlign w:val="center"/>
          </w:tcPr>
          <w:p w:rsidR="00271A0A" w:rsidRPr="003F3BDE" w:rsidRDefault="00271A0A"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271A0A" w:rsidRPr="003F3BDE" w:rsidRDefault="00271A0A"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271A0A" w:rsidRPr="003F3BDE" w:rsidRDefault="00271A0A"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271A0A" w:rsidRPr="003F3BDE" w:rsidRDefault="00271A0A" w:rsidP="00461D21">
            <w:pPr>
              <w:widowControl w:val="0"/>
              <w:autoSpaceDE w:val="0"/>
              <w:autoSpaceDN w:val="0"/>
              <w:jc w:val="center"/>
              <w:rPr>
                <w:rFonts w:eastAsia="Calibri" w:cstheme="minorHAnsi"/>
                <w:b/>
                <w:kern w:val="0"/>
                <w:sz w:val="22"/>
                <w:szCs w:val="22"/>
                <w:lang w:val="en-US"/>
                <w14:ligatures w14:val="none"/>
              </w:rPr>
            </w:pPr>
          </w:p>
        </w:tc>
      </w:tr>
      <w:tr w:rsidR="00271A0A" w:rsidRPr="003F3BDE" w:rsidTr="008C6CDF">
        <w:trPr>
          <w:trHeight w:val="432"/>
        </w:trPr>
        <w:tc>
          <w:tcPr>
            <w:tcW w:w="576" w:type="dxa"/>
            <w:shd w:val="clear" w:color="auto" w:fill="auto"/>
            <w:vAlign w:val="center"/>
          </w:tcPr>
          <w:p w:rsidR="00271A0A" w:rsidRPr="00461D21" w:rsidRDefault="00271A0A" w:rsidP="00461D21">
            <w:pPr>
              <w:pStyle w:val="ListParagraph"/>
              <w:widowControl w:val="0"/>
              <w:numPr>
                <w:ilvl w:val="0"/>
                <w:numId w:val="2"/>
              </w:numPr>
              <w:autoSpaceDE w:val="0"/>
              <w:autoSpaceDN w:val="0"/>
              <w:ind w:left="504" w:right="172"/>
              <w:rPr>
                <w:rFonts w:eastAsia="Calibri" w:cstheme="minorHAnsi"/>
                <w:b/>
                <w:kern w:val="0"/>
                <w:sz w:val="18"/>
                <w:szCs w:val="18"/>
                <w:lang w:val="en-US"/>
                <w14:ligatures w14:val="none"/>
              </w:rPr>
            </w:pPr>
          </w:p>
        </w:tc>
        <w:tc>
          <w:tcPr>
            <w:tcW w:w="1440" w:type="dxa"/>
            <w:vMerge/>
            <w:shd w:val="clear" w:color="auto" w:fill="auto"/>
          </w:tcPr>
          <w:p w:rsidR="00271A0A" w:rsidRPr="00461D21" w:rsidRDefault="00271A0A" w:rsidP="00461D21">
            <w:pPr>
              <w:spacing w:before="40" w:after="40"/>
              <w:ind w:left="144" w:right="232"/>
              <w:rPr>
                <w:rFonts w:cstheme="minorHAnsi"/>
                <w:sz w:val="18"/>
                <w:szCs w:val="18"/>
              </w:rPr>
            </w:pPr>
          </w:p>
        </w:tc>
        <w:tc>
          <w:tcPr>
            <w:tcW w:w="4639" w:type="dxa"/>
            <w:shd w:val="clear" w:color="auto" w:fill="auto"/>
            <w:vAlign w:val="center"/>
          </w:tcPr>
          <w:p w:rsidR="00271A0A" w:rsidRDefault="00271A0A" w:rsidP="00A12845">
            <w:pPr>
              <w:pStyle w:val="TableParagraph"/>
              <w:spacing w:before="60" w:after="60"/>
              <w:ind w:left="100"/>
              <w:rPr>
                <w:b/>
                <w:bCs/>
                <w:sz w:val="18"/>
                <w:szCs w:val="18"/>
              </w:rPr>
            </w:pPr>
            <w:r>
              <w:t>5. Re-shipment of undelivered Dangerous Goods from Oman shall be carried out by the operator/ground handling agent or CAA approved freight forwarder(s) within 3 days from the time the shipment was not picked up in the given timeframe in paras 9.1 and 10.1, as applicable, in full compliance with these Regulations and CAR 92 (as amended).</w:t>
            </w:r>
          </w:p>
        </w:tc>
        <w:tc>
          <w:tcPr>
            <w:tcW w:w="833" w:type="dxa"/>
            <w:shd w:val="clear" w:color="auto" w:fill="auto"/>
            <w:vAlign w:val="center"/>
          </w:tcPr>
          <w:p w:rsidR="00271A0A" w:rsidRPr="003F3BDE" w:rsidRDefault="00271A0A"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271A0A" w:rsidRPr="003F3BDE" w:rsidRDefault="00271A0A"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271A0A" w:rsidRPr="003F3BDE" w:rsidRDefault="00271A0A"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271A0A" w:rsidRPr="003F3BDE" w:rsidRDefault="00271A0A" w:rsidP="00461D21">
            <w:pPr>
              <w:widowControl w:val="0"/>
              <w:autoSpaceDE w:val="0"/>
              <w:autoSpaceDN w:val="0"/>
              <w:jc w:val="center"/>
              <w:rPr>
                <w:rFonts w:eastAsia="Calibri" w:cstheme="minorHAnsi"/>
                <w:b/>
                <w:kern w:val="0"/>
                <w:sz w:val="22"/>
                <w:szCs w:val="22"/>
                <w:lang w:val="en-US"/>
                <w14:ligatures w14:val="none"/>
              </w:rPr>
            </w:pPr>
          </w:p>
        </w:tc>
      </w:tr>
      <w:tr w:rsidR="008C6CDF" w:rsidRPr="003F3BDE" w:rsidTr="00FF29AA">
        <w:trPr>
          <w:trHeight w:val="432"/>
        </w:trPr>
        <w:tc>
          <w:tcPr>
            <w:tcW w:w="10624" w:type="dxa"/>
            <w:gridSpan w:val="7"/>
            <w:shd w:val="clear" w:color="auto" w:fill="D5DCE4" w:themeFill="text2" w:themeFillTint="33"/>
            <w:vAlign w:val="center"/>
          </w:tcPr>
          <w:p w:rsidR="008C6CDF" w:rsidRPr="003F3BDE" w:rsidRDefault="008C6CDF" w:rsidP="008C6CDF">
            <w:pPr>
              <w:widowControl w:val="0"/>
              <w:autoSpaceDE w:val="0"/>
              <w:autoSpaceDN w:val="0"/>
              <w:rPr>
                <w:rFonts w:eastAsia="Calibri" w:cstheme="minorHAnsi"/>
                <w:b/>
                <w:kern w:val="0"/>
                <w:sz w:val="22"/>
                <w:szCs w:val="22"/>
                <w:lang w:val="en-US"/>
                <w14:ligatures w14:val="none"/>
              </w:rPr>
            </w:pPr>
            <w:r>
              <w:t>B. Directives on Arms, Ammunitions, Explosives and Radioactive Material</w:t>
            </w:r>
          </w:p>
        </w:tc>
      </w:tr>
      <w:tr w:rsidR="008C6CDF" w:rsidRPr="003F3BDE" w:rsidTr="008C6CDF">
        <w:trPr>
          <w:trHeight w:val="432"/>
        </w:trPr>
        <w:tc>
          <w:tcPr>
            <w:tcW w:w="576" w:type="dxa"/>
            <w:shd w:val="clear" w:color="auto" w:fill="auto"/>
            <w:vAlign w:val="center"/>
          </w:tcPr>
          <w:p w:rsidR="008C6CDF" w:rsidRPr="00F83285" w:rsidRDefault="008C6CDF" w:rsidP="00461D21">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vMerge w:val="restart"/>
            <w:shd w:val="clear" w:color="auto" w:fill="auto"/>
          </w:tcPr>
          <w:p w:rsidR="008C6CDF" w:rsidRDefault="008C6CDF" w:rsidP="008C6CDF">
            <w:pPr>
              <w:pStyle w:val="TableParagraph"/>
              <w:spacing w:before="60" w:after="60"/>
              <w:ind w:right="115"/>
              <w:rPr>
                <w:sz w:val="18"/>
                <w:szCs w:val="18"/>
              </w:rPr>
            </w:pPr>
            <w:r>
              <w:rPr>
                <w:sz w:val="18"/>
                <w:szCs w:val="18"/>
              </w:rPr>
              <w:t>CAD 02-02</w:t>
            </w:r>
          </w:p>
          <w:p w:rsidR="008C6CDF" w:rsidRPr="00CD111B" w:rsidRDefault="008C6CDF" w:rsidP="008C6CDF">
            <w:pPr>
              <w:rPr>
                <w:sz w:val="2"/>
                <w:szCs w:val="2"/>
              </w:rPr>
            </w:pPr>
            <w:r>
              <w:rPr>
                <w:sz w:val="18"/>
                <w:szCs w:val="18"/>
              </w:rPr>
              <w:t>Section C</w:t>
            </w:r>
          </w:p>
        </w:tc>
        <w:tc>
          <w:tcPr>
            <w:tcW w:w="4639" w:type="dxa"/>
            <w:shd w:val="clear" w:color="auto" w:fill="auto"/>
            <w:vAlign w:val="center"/>
          </w:tcPr>
          <w:p w:rsidR="008C6CDF" w:rsidRDefault="008C6CDF" w:rsidP="00A05E73">
            <w:pPr>
              <w:pStyle w:val="TableParagraph"/>
              <w:spacing w:before="60" w:after="60"/>
              <w:ind w:left="144" w:right="99"/>
              <w:rPr>
                <w:sz w:val="18"/>
              </w:rPr>
            </w:pPr>
            <w:r>
              <w:t>1.In accordance with DGR State Variation OMG 4, Ammunitions, Class 1 explosives (exclude division 1.4S and empty Arms) shall be collected as soon as possible and not more than 6 hours and Class 7 radioactive material shall be collected as soon as possible and not more than 12 hours from the time of arrival of flight. Initiation of prior arrangements shall be the responsibility of the concerned entity(</w:t>
            </w:r>
            <w:proofErr w:type="spellStart"/>
            <w:r>
              <w:t>ies</w:t>
            </w:r>
            <w:proofErr w:type="spellEnd"/>
            <w:r>
              <w:t>) and to ensure compliance with regard to the escort with Royal Oman Police.</w:t>
            </w:r>
          </w:p>
        </w:tc>
        <w:tc>
          <w:tcPr>
            <w:tcW w:w="833" w:type="dxa"/>
            <w:shd w:val="clear" w:color="auto" w:fill="auto"/>
            <w:vAlign w:val="center"/>
          </w:tcPr>
          <w:p w:rsidR="008C6CDF" w:rsidRPr="003F3BDE" w:rsidRDefault="008C6CDF"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C6CDF" w:rsidRPr="003F3BDE" w:rsidRDefault="008C6CDF"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C6CDF" w:rsidRPr="003F3BDE" w:rsidRDefault="008C6CDF"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8C6CDF" w:rsidRPr="003F3BDE" w:rsidRDefault="008C6CDF" w:rsidP="00461D21">
            <w:pPr>
              <w:widowControl w:val="0"/>
              <w:autoSpaceDE w:val="0"/>
              <w:autoSpaceDN w:val="0"/>
              <w:jc w:val="center"/>
              <w:rPr>
                <w:rFonts w:eastAsia="Calibri" w:cstheme="minorHAnsi"/>
                <w:b/>
                <w:kern w:val="0"/>
                <w:sz w:val="22"/>
                <w:szCs w:val="22"/>
                <w:lang w:val="en-US"/>
                <w14:ligatures w14:val="none"/>
              </w:rPr>
            </w:pPr>
          </w:p>
        </w:tc>
      </w:tr>
      <w:tr w:rsidR="008C6CDF" w:rsidRPr="003F3BDE" w:rsidTr="008C6CDF">
        <w:trPr>
          <w:trHeight w:val="432"/>
        </w:trPr>
        <w:tc>
          <w:tcPr>
            <w:tcW w:w="576" w:type="dxa"/>
            <w:shd w:val="clear" w:color="auto" w:fill="auto"/>
            <w:vAlign w:val="center"/>
          </w:tcPr>
          <w:p w:rsidR="008C6CDF" w:rsidRPr="00F83285" w:rsidRDefault="008C6CDF" w:rsidP="00461D21">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8C6CDF" w:rsidRPr="00CD111B" w:rsidRDefault="008C6CDF" w:rsidP="00461D21">
            <w:pPr>
              <w:rPr>
                <w:sz w:val="2"/>
                <w:szCs w:val="2"/>
              </w:rPr>
            </w:pPr>
          </w:p>
        </w:tc>
        <w:tc>
          <w:tcPr>
            <w:tcW w:w="4639" w:type="dxa"/>
            <w:shd w:val="clear" w:color="auto" w:fill="auto"/>
            <w:vAlign w:val="center"/>
          </w:tcPr>
          <w:p w:rsidR="008C6CDF" w:rsidRDefault="008C6CDF" w:rsidP="00A05E73">
            <w:pPr>
              <w:pStyle w:val="TableParagraph"/>
              <w:spacing w:before="60" w:after="60"/>
              <w:ind w:left="144" w:right="98"/>
            </w:pPr>
            <w:r>
              <w:t>2.The carriage of arms, ammunitions, explosives and all other Class 1 Dangerous Goods shall be in strict compliance with CAR 92, ICAO Technical Instructions Doc 9284, Supplement to Technical Instructions and as per the Oman variations as amended.</w:t>
            </w:r>
          </w:p>
          <w:p w:rsidR="00F4246D" w:rsidRDefault="00F4246D" w:rsidP="00A05E73">
            <w:pPr>
              <w:pStyle w:val="TableParagraph"/>
              <w:spacing w:before="60" w:after="60"/>
              <w:ind w:left="144" w:right="98"/>
              <w:rPr>
                <w:sz w:val="18"/>
              </w:rPr>
            </w:pPr>
          </w:p>
        </w:tc>
        <w:tc>
          <w:tcPr>
            <w:tcW w:w="833" w:type="dxa"/>
            <w:shd w:val="clear" w:color="auto" w:fill="auto"/>
            <w:vAlign w:val="center"/>
          </w:tcPr>
          <w:p w:rsidR="008C6CDF" w:rsidRPr="003F3BDE" w:rsidRDefault="008C6CDF"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C6CDF" w:rsidRPr="003F3BDE" w:rsidRDefault="008C6CDF"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C6CDF" w:rsidRPr="003F3BDE" w:rsidRDefault="008C6CDF"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8C6CDF" w:rsidRPr="003F3BDE" w:rsidRDefault="008C6CDF" w:rsidP="00461D21">
            <w:pPr>
              <w:widowControl w:val="0"/>
              <w:autoSpaceDE w:val="0"/>
              <w:autoSpaceDN w:val="0"/>
              <w:jc w:val="center"/>
              <w:rPr>
                <w:rFonts w:eastAsia="Calibri" w:cstheme="minorHAnsi"/>
                <w:b/>
                <w:kern w:val="0"/>
                <w:sz w:val="22"/>
                <w:szCs w:val="22"/>
                <w:lang w:val="en-US"/>
                <w14:ligatures w14:val="none"/>
              </w:rPr>
            </w:pPr>
          </w:p>
        </w:tc>
      </w:tr>
      <w:tr w:rsidR="008C6CDF" w:rsidRPr="003F3BDE" w:rsidTr="008C6CDF">
        <w:trPr>
          <w:trHeight w:val="432"/>
        </w:trPr>
        <w:tc>
          <w:tcPr>
            <w:tcW w:w="576" w:type="dxa"/>
            <w:shd w:val="clear" w:color="auto" w:fill="auto"/>
            <w:vAlign w:val="center"/>
          </w:tcPr>
          <w:p w:rsidR="008C6CDF" w:rsidRPr="00F83285" w:rsidRDefault="008C6CDF" w:rsidP="00461D21">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8C6CDF" w:rsidRPr="00CD111B" w:rsidRDefault="008C6CDF" w:rsidP="00461D21">
            <w:pPr>
              <w:rPr>
                <w:sz w:val="2"/>
                <w:szCs w:val="2"/>
              </w:rPr>
            </w:pPr>
          </w:p>
        </w:tc>
        <w:tc>
          <w:tcPr>
            <w:tcW w:w="4639" w:type="dxa"/>
            <w:shd w:val="clear" w:color="auto" w:fill="auto"/>
            <w:vAlign w:val="center"/>
          </w:tcPr>
          <w:p w:rsidR="008C6CDF" w:rsidRDefault="008C6CDF" w:rsidP="00A05E73">
            <w:pPr>
              <w:pStyle w:val="TableParagraph"/>
              <w:spacing w:before="60" w:after="60"/>
              <w:ind w:left="144" w:right="98"/>
              <w:rPr>
                <w:sz w:val="18"/>
              </w:rPr>
            </w:pPr>
            <w:r>
              <w:t>3.The storage of Class 1 shipments at Oman airports and freight forwarders/cargo agent’s warehouse is strictly prohibited.</w:t>
            </w:r>
          </w:p>
        </w:tc>
        <w:tc>
          <w:tcPr>
            <w:tcW w:w="833" w:type="dxa"/>
            <w:shd w:val="clear" w:color="auto" w:fill="auto"/>
            <w:vAlign w:val="center"/>
          </w:tcPr>
          <w:p w:rsidR="008C6CDF" w:rsidRPr="003F3BDE" w:rsidRDefault="008C6CDF"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C6CDF" w:rsidRPr="003F3BDE" w:rsidRDefault="008C6CDF"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C6CDF" w:rsidRPr="003F3BDE" w:rsidRDefault="008C6CDF"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8C6CDF" w:rsidRPr="003F3BDE" w:rsidRDefault="008C6CDF" w:rsidP="00461D21">
            <w:pPr>
              <w:widowControl w:val="0"/>
              <w:autoSpaceDE w:val="0"/>
              <w:autoSpaceDN w:val="0"/>
              <w:jc w:val="center"/>
              <w:rPr>
                <w:rFonts w:eastAsia="Calibri" w:cstheme="minorHAnsi"/>
                <w:b/>
                <w:kern w:val="0"/>
                <w:sz w:val="22"/>
                <w:szCs w:val="22"/>
                <w:lang w:val="en-US"/>
                <w14:ligatures w14:val="none"/>
              </w:rPr>
            </w:pPr>
          </w:p>
        </w:tc>
      </w:tr>
      <w:tr w:rsidR="008C6CDF" w:rsidRPr="003F3BDE" w:rsidTr="008C6CDF">
        <w:trPr>
          <w:trHeight w:val="432"/>
        </w:trPr>
        <w:tc>
          <w:tcPr>
            <w:tcW w:w="576" w:type="dxa"/>
            <w:shd w:val="clear" w:color="auto" w:fill="auto"/>
            <w:vAlign w:val="center"/>
          </w:tcPr>
          <w:p w:rsidR="008C6CDF" w:rsidRPr="00F83285" w:rsidRDefault="008C6CDF" w:rsidP="00461D21">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8C6CDF" w:rsidRPr="00CD111B" w:rsidRDefault="008C6CDF" w:rsidP="00461D21">
            <w:pPr>
              <w:rPr>
                <w:sz w:val="2"/>
                <w:szCs w:val="2"/>
              </w:rPr>
            </w:pPr>
          </w:p>
        </w:tc>
        <w:tc>
          <w:tcPr>
            <w:tcW w:w="4639" w:type="dxa"/>
            <w:shd w:val="clear" w:color="auto" w:fill="auto"/>
            <w:vAlign w:val="center"/>
          </w:tcPr>
          <w:p w:rsidR="008C6CDF" w:rsidRDefault="008C6CDF" w:rsidP="00A05E73">
            <w:pPr>
              <w:pStyle w:val="TableParagraph"/>
              <w:spacing w:before="60" w:after="60"/>
              <w:ind w:left="144" w:right="98"/>
            </w:pPr>
            <w:r>
              <w:t>4.All entities shall arrange escort with appropriate competent authority(</w:t>
            </w:r>
            <w:proofErr w:type="spellStart"/>
            <w:r>
              <w:t>ies</w:t>
            </w:r>
            <w:proofErr w:type="spellEnd"/>
            <w:r>
              <w:t>) within the reasonable timeframe in order to prevent any non-compliance in the storage of explosives.</w:t>
            </w:r>
          </w:p>
        </w:tc>
        <w:tc>
          <w:tcPr>
            <w:tcW w:w="833" w:type="dxa"/>
            <w:shd w:val="clear" w:color="auto" w:fill="auto"/>
            <w:vAlign w:val="center"/>
          </w:tcPr>
          <w:p w:rsidR="008C6CDF" w:rsidRPr="003F3BDE" w:rsidRDefault="008C6CDF"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C6CDF" w:rsidRPr="003F3BDE" w:rsidRDefault="008C6CDF"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C6CDF" w:rsidRPr="003F3BDE" w:rsidRDefault="008C6CDF"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8C6CDF" w:rsidRPr="003F3BDE" w:rsidRDefault="008C6CDF" w:rsidP="00461D21">
            <w:pPr>
              <w:widowControl w:val="0"/>
              <w:autoSpaceDE w:val="0"/>
              <w:autoSpaceDN w:val="0"/>
              <w:jc w:val="center"/>
              <w:rPr>
                <w:rFonts w:eastAsia="Calibri" w:cstheme="minorHAnsi"/>
                <w:b/>
                <w:kern w:val="0"/>
                <w:sz w:val="22"/>
                <w:szCs w:val="22"/>
                <w:lang w:val="en-US"/>
                <w14:ligatures w14:val="none"/>
              </w:rPr>
            </w:pPr>
          </w:p>
        </w:tc>
      </w:tr>
      <w:tr w:rsidR="008C6CDF" w:rsidRPr="003F3BDE" w:rsidTr="008C6CDF">
        <w:trPr>
          <w:trHeight w:val="432"/>
        </w:trPr>
        <w:tc>
          <w:tcPr>
            <w:tcW w:w="10624" w:type="dxa"/>
            <w:gridSpan w:val="7"/>
            <w:shd w:val="clear" w:color="auto" w:fill="DEEAF6" w:themeFill="accent1" w:themeFillTint="33"/>
            <w:vAlign w:val="center"/>
          </w:tcPr>
          <w:p w:rsidR="008C6CDF" w:rsidRPr="003F3BDE" w:rsidRDefault="008C6CDF" w:rsidP="008C6CDF">
            <w:pPr>
              <w:widowControl w:val="0"/>
              <w:autoSpaceDE w:val="0"/>
              <w:autoSpaceDN w:val="0"/>
              <w:rPr>
                <w:rFonts w:eastAsia="Calibri" w:cstheme="minorHAnsi"/>
                <w:b/>
                <w:kern w:val="0"/>
                <w:sz w:val="22"/>
                <w:szCs w:val="22"/>
                <w:lang w:val="en-US"/>
                <w14:ligatures w14:val="none"/>
              </w:rPr>
            </w:pPr>
            <w:r>
              <w:t xml:space="preserve">  C. Directives on Dangerous Goods (other than Arms, Ammunitions, Explosives and Radioactive Material)</w:t>
            </w:r>
          </w:p>
        </w:tc>
      </w:tr>
      <w:tr w:rsidR="008C6CDF" w:rsidRPr="003F3BDE" w:rsidTr="008C6CDF">
        <w:trPr>
          <w:trHeight w:val="432"/>
        </w:trPr>
        <w:tc>
          <w:tcPr>
            <w:tcW w:w="576" w:type="dxa"/>
            <w:shd w:val="clear" w:color="auto" w:fill="auto"/>
            <w:vAlign w:val="center"/>
          </w:tcPr>
          <w:p w:rsidR="008C6CDF" w:rsidRPr="00F83285" w:rsidRDefault="008C6CDF" w:rsidP="008C6CDF">
            <w:pPr>
              <w:pStyle w:val="ListParagraph"/>
              <w:widowControl w:val="0"/>
              <w:numPr>
                <w:ilvl w:val="0"/>
                <w:numId w:val="107"/>
              </w:numPr>
              <w:autoSpaceDE w:val="0"/>
              <w:autoSpaceDN w:val="0"/>
              <w:ind w:right="172"/>
              <w:jc w:val="center"/>
              <w:rPr>
                <w:rFonts w:eastAsia="Calibri" w:cstheme="minorHAnsi"/>
                <w:b/>
                <w:kern w:val="0"/>
                <w:sz w:val="20"/>
                <w:szCs w:val="20"/>
                <w:lang w:val="en-US"/>
                <w14:ligatures w14:val="none"/>
              </w:rPr>
            </w:pPr>
          </w:p>
        </w:tc>
        <w:tc>
          <w:tcPr>
            <w:tcW w:w="1440" w:type="dxa"/>
            <w:shd w:val="clear" w:color="auto" w:fill="auto"/>
          </w:tcPr>
          <w:p w:rsidR="008C6CDF" w:rsidRDefault="008C6CDF" w:rsidP="008C6CDF">
            <w:pPr>
              <w:pStyle w:val="TableParagraph"/>
              <w:spacing w:before="60" w:after="60"/>
              <w:ind w:right="115"/>
              <w:rPr>
                <w:sz w:val="18"/>
                <w:szCs w:val="18"/>
              </w:rPr>
            </w:pPr>
            <w:r>
              <w:rPr>
                <w:sz w:val="18"/>
                <w:szCs w:val="18"/>
              </w:rPr>
              <w:t>CAD 02-02</w:t>
            </w:r>
          </w:p>
          <w:p w:rsidR="008C6CDF" w:rsidRPr="00CD111B" w:rsidRDefault="008C6CDF" w:rsidP="008C6CDF">
            <w:pPr>
              <w:rPr>
                <w:sz w:val="2"/>
                <w:szCs w:val="2"/>
              </w:rPr>
            </w:pPr>
            <w:r>
              <w:rPr>
                <w:sz w:val="18"/>
                <w:szCs w:val="18"/>
              </w:rPr>
              <w:t>Section D</w:t>
            </w:r>
          </w:p>
        </w:tc>
        <w:tc>
          <w:tcPr>
            <w:tcW w:w="4639" w:type="dxa"/>
            <w:shd w:val="clear" w:color="auto" w:fill="auto"/>
            <w:vAlign w:val="center"/>
          </w:tcPr>
          <w:p w:rsidR="008C6CDF" w:rsidRDefault="008C6CDF" w:rsidP="008C6CDF">
            <w:pPr>
              <w:pStyle w:val="TableParagraph"/>
              <w:spacing w:before="60" w:after="60"/>
              <w:ind w:left="144" w:right="98"/>
              <w:jc w:val="both"/>
            </w:pPr>
            <w:r>
              <w:t>1. All Classes of Dangerous Goods other than Arms, Ammunitions, Class 1 explosives and Class 7 radioactive material, must be collected as soon as possible from the time of arrival of flight and not more than 7 days from the time of arrival of the flight. In order to avoid any delay in collection of the Dangerous Goods and to ensure smooth and timely delivery, consignee must arrange to take necessary pre-arrival clearance in advance from all relevant authorities.</w:t>
            </w:r>
          </w:p>
        </w:tc>
        <w:tc>
          <w:tcPr>
            <w:tcW w:w="833" w:type="dxa"/>
            <w:shd w:val="clear" w:color="auto" w:fill="auto"/>
            <w:vAlign w:val="center"/>
          </w:tcPr>
          <w:p w:rsidR="008C6CDF" w:rsidRPr="003F3BDE" w:rsidRDefault="008C6CDF"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C6CDF" w:rsidRPr="003F3BDE" w:rsidRDefault="008C6CDF"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C6CDF" w:rsidRPr="003F3BDE" w:rsidRDefault="008C6CDF"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8C6CDF" w:rsidRPr="003F3BDE" w:rsidRDefault="008C6CDF" w:rsidP="008C6CDF">
            <w:pPr>
              <w:widowControl w:val="0"/>
              <w:autoSpaceDE w:val="0"/>
              <w:autoSpaceDN w:val="0"/>
              <w:jc w:val="center"/>
              <w:rPr>
                <w:rFonts w:eastAsia="Calibri" w:cstheme="minorHAnsi"/>
                <w:b/>
                <w:kern w:val="0"/>
                <w:sz w:val="22"/>
                <w:szCs w:val="22"/>
                <w:lang w:val="en-US"/>
                <w14:ligatures w14:val="none"/>
              </w:rPr>
            </w:pPr>
          </w:p>
        </w:tc>
      </w:tr>
      <w:tr w:rsidR="008C6CDF" w:rsidRPr="003F3BDE" w:rsidTr="00271A0A">
        <w:trPr>
          <w:trHeight w:val="432"/>
        </w:trPr>
        <w:tc>
          <w:tcPr>
            <w:tcW w:w="10624" w:type="dxa"/>
            <w:gridSpan w:val="7"/>
            <w:shd w:val="clear" w:color="auto" w:fill="DEEAF6" w:themeFill="accent1" w:themeFillTint="33"/>
            <w:vAlign w:val="center"/>
          </w:tcPr>
          <w:p w:rsidR="008C6CDF" w:rsidRPr="003F3BDE" w:rsidRDefault="00271A0A" w:rsidP="00271A0A">
            <w:pPr>
              <w:widowControl w:val="0"/>
              <w:autoSpaceDE w:val="0"/>
              <w:autoSpaceDN w:val="0"/>
              <w:ind w:left="180"/>
              <w:rPr>
                <w:rFonts w:eastAsia="Calibri" w:cstheme="minorHAnsi"/>
                <w:b/>
                <w:kern w:val="0"/>
                <w:sz w:val="22"/>
                <w:szCs w:val="22"/>
                <w:lang w:val="en-US"/>
                <w14:ligatures w14:val="none"/>
              </w:rPr>
            </w:pPr>
            <w:r w:rsidRPr="00271A0A">
              <w:t>E.</w:t>
            </w:r>
            <w:r>
              <w:t xml:space="preserve"> Directives related to the processing of General Cargo, Lithium Batteries and Portable Electronic Devices containing batteries.</w:t>
            </w:r>
          </w:p>
        </w:tc>
      </w:tr>
      <w:tr w:rsidR="00271A0A" w:rsidRPr="003F3BDE" w:rsidTr="008C6CDF">
        <w:trPr>
          <w:trHeight w:val="432"/>
        </w:trPr>
        <w:tc>
          <w:tcPr>
            <w:tcW w:w="576" w:type="dxa"/>
            <w:shd w:val="clear" w:color="auto" w:fill="auto"/>
            <w:vAlign w:val="center"/>
          </w:tcPr>
          <w:p w:rsidR="00271A0A" w:rsidRPr="00F83285" w:rsidRDefault="00271A0A" w:rsidP="008C6CDF">
            <w:pPr>
              <w:pStyle w:val="ListParagraph"/>
              <w:widowControl w:val="0"/>
              <w:numPr>
                <w:ilvl w:val="0"/>
                <w:numId w:val="108"/>
              </w:numPr>
              <w:autoSpaceDE w:val="0"/>
              <w:autoSpaceDN w:val="0"/>
              <w:ind w:right="172"/>
              <w:rPr>
                <w:rFonts w:eastAsia="Calibri" w:cstheme="minorHAnsi"/>
                <w:b/>
                <w:kern w:val="0"/>
                <w:sz w:val="20"/>
                <w:szCs w:val="20"/>
                <w:lang w:val="en-US"/>
                <w14:ligatures w14:val="none"/>
              </w:rPr>
            </w:pPr>
          </w:p>
        </w:tc>
        <w:tc>
          <w:tcPr>
            <w:tcW w:w="1440" w:type="dxa"/>
            <w:vMerge w:val="restart"/>
            <w:shd w:val="clear" w:color="auto" w:fill="auto"/>
          </w:tcPr>
          <w:p w:rsidR="00271A0A" w:rsidRDefault="00271A0A" w:rsidP="00271A0A">
            <w:pPr>
              <w:pStyle w:val="TableParagraph"/>
              <w:spacing w:before="60" w:after="60"/>
              <w:ind w:right="115"/>
              <w:rPr>
                <w:sz w:val="18"/>
                <w:szCs w:val="18"/>
              </w:rPr>
            </w:pPr>
            <w:r>
              <w:rPr>
                <w:sz w:val="18"/>
                <w:szCs w:val="18"/>
              </w:rPr>
              <w:t>CAD 02-02</w:t>
            </w:r>
          </w:p>
          <w:p w:rsidR="00271A0A" w:rsidRPr="00CD111B" w:rsidRDefault="00271A0A" w:rsidP="00271A0A">
            <w:pPr>
              <w:rPr>
                <w:sz w:val="2"/>
                <w:szCs w:val="2"/>
              </w:rPr>
            </w:pPr>
            <w:r>
              <w:rPr>
                <w:sz w:val="18"/>
                <w:szCs w:val="18"/>
              </w:rPr>
              <w:t>Section F</w:t>
            </w:r>
          </w:p>
        </w:tc>
        <w:tc>
          <w:tcPr>
            <w:tcW w:w="4639" w:type="dxa"/>
            <w:shd w:val="clear" w:color="auto" w:fill="auto"/>
            <w:vAlign w:val="center"/>
          </w:tcPr>
          <w:p w:rsidR="00271A0A" w:rsidRDefault="00271A0A" w:rsidP="00271A0A">
            <w:pPr>
              <w:pStyle w:val="TableParagraph"/>
              <w:spacing w:before="60" w:after="60"/>
              <w:ind w:left="144" w:right="98"/>
              <w:jc w:val="both"/>
            </w:pPr>
            <w:r>
              <w:t>1. Effective 31st December 2024, all General Cargo including Dangerous Goods identified as “not restricted” in the air way bill, shall be offered for air transport only by a CAA Dangerous Goods Certified entity. The list of certified freight forwarders shall be maintained and updated by the Cargo acceptance entity Oman SATS in coordination with the CAA Flight Safety Department.</w:t>
            </w:r>
          </w:p>
        </w:tc>
        <w:tc>
          <w:tcPr>
            <w:tcW w:w="833" w:type="dxa"/>
            <w:shd w:val="clear" w:color="auto" w:fill="auto"/>
            <w:vAlign w:val="center"/>
          </w:tcPr>
          <w:p w:rsidR="00271A0A" w:rsidRPr="003F3BDE" w:rsidRDefault="00271A0A"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271A0A" w:rsidRPr="003F3BDE" w:rsidRDefault="00271A0A"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271A0A" w:rsidRPr="003F3BDE" w:rsidRDefault="00271A0A"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271A0A" w:rsidRPr="003F3BDE" w:rsidRDefault="00271A0A" w:rsidP="008C6CDF">
            <w:pPr>
              <w:widowControl w:val="0"/>
              <w:autoSpaceDE w:val="0"/>
              <w:autoSpaceDN w:val="0"/>
              <w:jc w:val="center"/>
              <w:rPr>
                <w:rFonts w:eastAsia="Calibri" w:cstheme="minorHAnsi"/>
                <w:b/>
                <w:kern w:val="0"/>
                <w:sz w:val="22"/>
                <w:szCs w:val="22"/>
                <w:lang w:val="en-US"/>
                <w14:ligatures w14:val="none"/>
              </w:rPr>
            </w:pPr>
          </w:p>
        </w:tc>
      </w:tr>
      <w:tr w:rsidR="00271A0A" w:rsidRPr="003F3BDE" w:rsidTr="008C6CDF">
        <w:trPr>
          <w:trHeight w:val="432"/>
        </w:trPr>
        <w:tc>
          <w:tcPr>
            <w:tcW w:w="576" w:type="dxa"/>
            <w:shd w:val="clear" w:color="auto" w:fill="auto"/>
            <w:vAlign w:val="center"/>
          </w:tcPr>
          <w:p w:rsidR="00271A0A" w:rsidRPr="00F83285" w:rsidRDefault="00271A0A" w:rsidP="008C6CDF">
            <w:pPr>
              <w:pStyle w:val="ListParagraph"/>
              <w:widowControl w:val="0"/>
              <w:numPr>
                <w:ilvl w:val="0"/>
                <w:numId w:val="108"/>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271A0A" w:rsidRPr="00CD111B" w:rsidRDefault="00271A0A" w:rsidP="008C6CDF">
            <w:pPr>
              <w:rPr>
                <w:sz w:val="2"/>
                <w:szCs w:val="2"/>
              </w:rPr>
            </w:pPr>
          </w:p>
        </w:tc>
        <w:tc>
          <w:tcPr>
            <w:tcW w:w="4639" w:type="dxa"/>
            <w:shd w:val="clear" w:color="auto" w:fill="auto"/>
            <w:vAlign w:val="center"/>
          </w:tcPr>
          <w:p w:rsidR="00271A0A" w:rsidRDefault="00271A0A" w:rsidP="00271A0A">
            <w:pPr>
              <w:pStyle w:val="TableParagraph"/>
              <w:spacing w:before="60" w:after="60"/>
              <w:ind w:left="144" w:right="98"/>
              <w:jc w:val="both"/>
            </w:pPr>
            <w:r>
              <w:t>2. Lithium batteries including when contained in or packed with equipment must be kept away from extended exposure to inclement weather, which includes but not limited to direct sunlight, excessive heat and humidity during acceptance, storage, handling and loading.</w:t>
            </w:r>
          </w:p>
        </w:tc>
        <w:tc>
          <w:tcPr>
            <w:tcW w:w="833" w:type="dxa"/>
            <w:shd w:val="clear" w:color="auto" w:fill="auto"/>
            <w:vAlign w:val="center"/>
          </w:tcPr>
          <w:p w:rsidR="00271A0A" w:rsidRPr="003F3BDE" w:rsidRDefault="00271A0A"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271A0A" w:rsidRPr="003F3BDE" w:rsidRDefault="00271A0A"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271A0A" w:rsidRPr="003F3BDE" w:rsidRDefault="00271A0A"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271A0A" w:rsidRPr="003F3BDE" w:rsidRDefault="00271A0A" w:rsidP="008C6CDF">
            <w:pPr>
              <w:widowControl w:val="0"/>
              <w:autoSpaceDE w:val="0"/>
              <w:autoSpaceDN w:val="0"/>
              <w:jc w:val="center"/>
              <w:rPr>
                <w:rFonts w:eastAsia="Calibri" w:cstheme="minorHAnsi"/>
                <w:b/>
                <w:kern w:val="0"/>
                <w:sz w:val="22"/>
                <w:szCs w:val="22"/>
                <w:lang w:val="en-US"/>
                <w14:ligatures w14:val="none"/>
              </w:rPr>
            </w:pPr>
          </w:p>
        </w:tc>
      </w:tr>
      <w:tr w:rsidR="00271A0A" w:rsidRPr="003F3BDE" w:rsidTr="008C6CDF">
        <w:trPr>
          <w:trHeight w:val="432"/>
        </w:trPr>
        <w:tc>
          <w:tcPr>
            <w:tcW w:w="576" w:type="dxa"/>
            <w:shd w:val="clear" w:color="auto" w:fill="auto"/>
            <w:vAlign w:val="center"/>
          </w:tcPr>
          <w:p w:rsidR="00271A0A" w:rsidRPr="00F83285" w:rsidRDefault="00271A0A" w:rsidP="008C6CDF">
            <w:pPr>
              <w:pStyle w:val="ListParagraph"/>
              <w:widowControl w:val="0"/>
              <w:numPr>
                <w:ilvl w:val="0"/>
                <w:numId w:val="108"/>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271A0A" w:rsidRPr="00CD111B" w:rsidRDefault="00271A0A" w:rsidP="008C6CDF">
            <w:pPr>
              <w:rPr>
                <w:sz w:val="2"/>
                <w:szCs w:val="2"/>
              </w:rPr>
            </w:pPr>
          </w:p>
        </w:tc>
        <w:tc>
          <w:tcPr>
            <w:tcW w:w="4639" w:type="dxa"/>
            <w:shd w:val="clear" w:color="auto" w:fill="auto"/>
            <w:vAlign w:val="center"/>
          </w:tcPr>
          <w:p w:rsidR="00271A0A" w:rsidRDefault="00271A0A" w:rsidP="00271A0A">
            <w:pPr>
              <w:pStyle w:val="TableParagraph"/>
              <w:spacing w:before="60" w:after="60"/>
              <w:ind w:left="144" w:right="98"/>
              <w:jc w:val="both"/>
            </w:pPr>
            <w:r>
              <w:t>3. Reference to ICAO Technical Instructions Part 8, Chapter 1 Portable electronic devices containing batteries should be carried as carry-on baggage.</w:t>
            </w:r>
          </w:p>
        </w:tc>
        <w:tc>
          <w:tcPr>
            <w:tcW w:w="833" w:type="dxa"/>
            <w:shd w:val="clear" w:color="auto" w:fill="auto"/>
            <w:vAlign w:val="center"/>
          </w:tcPr>
          <w:p w:rsidR="00271A0A" w:rsidRPr="003F3BDE" w:rsidRDefault="00271A0A"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271A0A" w:rsidRPr="003F3BDE" w:rsidRDefault="00271A0A"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271A0A" w:rsidRPr="003F3BDE" w:rsidRDefault="00271A0A"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271A0A" w:rsidRPr="003F3BDE" w:rsidRDefault="00271A0A" w:rsidP="008C6CDF">
            <w:pPr>
              <w:widowControl w:val="0"/>
              <w:autoSpaceDE w:val="0"/>
              <w:autoSpaceDN w:val="0"/>
              <w:jc w:val="center"/>
              <w:rPr>
                <w:rFonts w:eastAsia="Calibri" w:cstheme="minorHAnsi"/>
                <w:b/>
                <w:kern w:val="0"/>
                <w:sz w:val="22"/>
                <w:szCs w:val="22"/>
                <w:lang w:val="en-US"/>
                <w14:ligatures w14:val="none"/>
              </w:rPr>
            </w:pPr>
          </w:p>
        </w:tc>
      </w:tr>
      <w:tr w:rsidR="00271A0A" w:rsidRPr="003F3BDE" w:rsidTr="008C6CDF">
        <w:trPr>
          <w:trHeight w:val="432"/>
        </w:trPr>
        <w:tc>
          <w:tcPr>
            <w:tcW w:w="576" w:type="dxa"/>
            <w:shd w:val="clear" w:color="auto" w:fill="auto"/>
            <w:vAlign w:val="center"/>
          </w:tcPr>
          <w:p w:rsidR="00271A0A" w:rsidRPr="00F83285" w:rsidRDefault="00271A0A" w:rsidP="008C6CDF">
            <w:pPr>
              <w:pStyle w:val="ListParagraph"/>
              <w:widowControl w:val="0"/>
              <w:numPr>
                <w:ilvl w:val="0"/>
                <w:numId w:val="108"/>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271A0A" w:rsidRPr="00CD111B" w:rsidRDefault="00271A0A" w:rsidP="008C6CDF">
            <w:pPr>
              <w:rPr>
                <w:sz w:val="2"/>
                <w:szCs w:val="2"/>
              </w:rPr>
            </w:pPr>
          </w:p>
        </w:tc>
        <w:tc>
          <w:tcPr>
            <w:tcW w:w="4639" w:type="dxa"/>
            <w:shd w:val="clear" w:color="auto" w:fill="auto"/>
            <w:vAlign w:val="center"/>
          </w:tcPr>
          <w:p w:rsidR="00271A0A" w:rsidRDefault="00271A0A" w:rsidP="00271A0A">
            <w:pPr>
              <w:pStyle w:val="TableParagraph"/>
              <w:spacing w:before="60" w:after="60"/>
              <w:ind w:left="144" w:right="98"/>
              <w:jc w:val="both"/>
            </w:pPr>
            <w:r>
              <w:t>4. No person or entity shall accept portable electronic devices containing batteries in checked baggage. However, if carried as checked baggage: (ICAO T.I. Table 8-1) (</w:t>
            </w:r>
            <w:proofErr w:type="spellStart"/>
            <w:r>
              <w:t>i</w:t>
            </w:r>
            <w:proofErr w:type="spellEnd"/>
            <w:r>
              <w:t>). measures must be taken to prevent unintentional activation and to protect the devices from damage; and (ii). the devices must be completely switched off (not in sleep or hibernation mode) if the batteries exceed: (iii). for lithium metal batteries, a lithium content of 0.3 grams; or (iv). for lithium ion batteries, a Watt-hour rating of 2.7 Wh.</w:t>
            </w:r>
          </w:p>
        </w:tc>
        <w:tc>
          <w:tcPr>
            <w:tcW w:w="833" w:type="dxa"/>
            <w:shd w:val="clear" w:color="auto" w:fill="auto"/>
            <w:vAlign w:val="center"/>
          </w:tcPr>
          <w:p w:rsidR="00271A0A" w:rsidRPr="003F3BDE" w:rsidRDefault="00271A0A"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271A0A" w:rsidRPr="003F3BDE" w:rsidRDefault="00271A0A"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271A0A" w:rsidRPr="003F3BDE" w:rsidRDefault="00271A0A"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271A0A" w:rsidRPr="003F3BDE" w:rsidRDefault="00271A0A" w:rsidP="008C6CDF">
            <w:pPr>
              <w:widowControl w:val="0"/>
              <w:autoSpaceDE w:val="0"/>
              <w:autoSpaceDN w:val="0"/>
              <w:jc w:val="center"/>
              <w:rPr>
                <w:rFonts w:eastAsia="Calibri" w:cstheme="minorHAnsi"/>
                <w:b/>
                <w:kern w:val="0"/>
                <w:sz w:val="22"/>
                <w:szCs w:val="22"/>
                <w:lang w:val="en-US"/>
                <w14:ligatures w14:val="none"/>
              </w:rPr>
            </w:pPr>
          </w:p>
        </w:tc>
      </w:tr>
      <w:tr w:rsidR="00271A0A" w:rsidRPr="003F3BDE" w:rsidTr="008C6CDF">
        <w:trPr>
          <w:trHeight w:val="432"/>
        </w:trPr>
        <w:tc>
          <w:tcPr>
            <w:tcW w:w="576" w:type="dxa"/>
            <w:shd w:val="clear" w:color="auto" w:fill="auto"/>
            <w:vAlign w:val="center"/>
          </w:tcPr>
          <w:p w:rsidR="00271A0A" w:rsidRPr="00F83285" w:rsidRDefault="00271A0A" w:rsidP="008C6CDF">
            <w:pPr>
              <w:pStyle w:val="ListParagraph"/>
              <w:widowControl w:val="0"/>
              <w:numPr>
                <w:ilvl w:val="0"/>
                <w:numId w:val="108"/>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271A0A" w:rsidRPr="00CD111B" w:rsidRDefault="00271A0A" w:rsidP="008C6CDF">
            <w:pPr>
              <w:rPr>
                <w:sz w:val="2"/>
                <w:szCs w:val="2"/>
              </w:rPr>
            </w:pPr>
          </w:p>
        </w:tc>
        <w:tc>
          <w:tcPr>
            <w:tcW w:w="4639" w:type="dxa"/>
            <w:shd w:val="clear" w:color="auto" w:fill="auto"/>
            <w:vAlign w:val="center"/>
          </w:tcPr>
          <w:p w:rsidR="00271A0A" w:rsidRDefault="00271A0A" w:rsidP="00271A0A">
            <w:pPr>
              <w:pStyle w:val="TableParagraph"/>
              <w:spacing w:before="60" w:after="60"/>
              <w:ind w:left="144" w:right="98"/>
              <w:jc w:val="both"/>
            </w:pPr>
            <w:r>
              <w:t>5. Electronic devices, such as electronic flight bags, personal entertainment devices, and credit card readers, containing lithium metal or lithium ion cells or batteries and spare lithium batteries for such devices carried aboard an aircraft by the operator for use on the aircraft during the flight or series of flights, provided that the batteries meet the provisions of ICAO Technical Instructions Table 8-1, Item 1), Provisions for Dangerous Goods carried by Passengers or crew.</w:t>
            </w:r>
          </w:p>
        </w:tc>
        <w:tc>
          <w:tcPr>
            <w:tcW w:w="833" w:type="dxa"/>
            <w:shd w:val="clear" w:color="auto" w:fill="auto"/>
            <w:vAlign w:val="center"/>
          </w:tcPr>
          <w:p w:rsidR="00271A0A" w:rsidRPr="003F3BDE" w:rsidRDefault="00271A0A"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271A0A" w:rsidRPr="003F3BDE" w:rsidRDefault="00271A0A"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271A0A" w:rsidRPr="003F3BDE" w:rsidRDefault="00271A0A"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271A0A" w:rsidRPr="003F3BDE" w:rsidRDefault="00271A0A" w:rsidP="008C6CDF">
            <w:pPr>
              <w:widowControl w:val="0"/>
              <w:autoSpaceDE w:val="0"/>
              <w:autoSpaceDN w:val="0"/>
              <w:jc w:val="center"/>
              <w:rPr>
                <w:rFonts w:eastAsia="Calibri" w:cstheme="minorHAnsi"/>
                <w:b/>
                <w:kern w:val="0"/>
                <w:sz w:val="22"/>
                <w:szCs w:val="22"/>
                <w:lang w:val="en-US"/>
                <w14:ligatures w14:val="none"/>
              </w:rPr>
            </w:pPr>
          </w:p>
        </w:tc>
      </w:tr>
      <w:tr w:rsidR="00271A0A" w:rsidRPr="003F3BDE" w:rsidTr="008C6CDF">
        <w:trPr>
          <w:trHeight w:val="432"/>
        </w:trPr>
        <w:tc>
          <w:tcPr>
            <w:tcW w:w="576" w:type="dxa"/>
            <w:shd w:val="clear" w:color="auto" w:fill="auto"/>
            <w:vAlign w:val="center"/>
          </w:tcPr>
          <w:p w:rsidR="00271A0A" w:rsidRPr="00F83285" w:rsidRDefault="00271A0A" w:rsidP="008C6CDF">
            <w:pPr>
              <w:pStyle w:val="ListParagraph"/>
              <w:widowControl w:val="0"/>
              <w:numPr>
                <w:ilvl w:val="0"/>
                <w:numId w:val="108"/>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271A0A" w:rsidRPr="00CD111B" w:rsidRDefault="00271A0A" w:rsidP="008C6CDF">
            <w:pPr>
              <w:rPr>
                <w:sz w:val="2"/>
                <w:szCs w:val="2"/>
              </w:rPr>
            </w:pPr>
          </w:p>
        </w:tc>
        <w:tc>
          <w:tcPr>
            <w:tcW w:w="4639" w:type="dxa"/>
            <w:shd w:val="clear" w:color="auto" w:fill="auto"/>
            <w:vAlign w:val="center"/>
          </w:tcPr>
          <w:p w:rsidR="00271A0A" w:rsidRDefault="00271A0A" w:rsidP="00271A0A">
            <w:pPr>
              <w:pStyle w:val="TableParagraph"/>
              <w:spacing w:before="60" w:after="60"/>
              <w:ind w:left="144" w:right="98"/>
              <w:jc w:val="both"/>
            </w:pPr>
            <w:r>
              <w:t>6. Spare lithium batteries must be individually protected so as to prevent short circuits when not in use. Conditions for the carriage and use of these electronic devices and for the carriage of spare batteries must be provided in the operations manual and/or other appropriate manuals as will enable flight crew, cabin crew and other employees to carry out the functions for which they are responsible.</w:t>
            </w:r>
          </w:p>
        </w:tc>
        <w:tc>
          <w:tcPr>
            <w:tcW w:w="833" w:type="dxa"/>
            <w:shd w:val="clear" w:color="auto" w:fill="auto"/>
            <w:vAlign w:val="center"/>
          </w:tcPr>
          <w:p w:rsidR="00271A0A" w:rsidRPr="003F3BDE" w:rsidRDefault="00271A0A"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271A0A" w:rsidRPr="003F3BDE" w:rsidRDefault="00271A0A"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271A0A" w:rsidRPr="003F3BDE" w:rsidRDefault="00271A0A"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271A0A" w:rsidRPr="003F3BDE" w:rsidRDefault="00271A0A" w:rsidP="008C6CDF">
            <w:pPr>
              <w:widowControl w:val="0"/>
              <w:autoSpaceDE w:val="0"/>
              <w:autoSpaceDN w:val="0"/>
              <w:jc w:val="center"/>
              <w:rPr>
                <w:rFonts w:eastAsia="Calibri" w:cstheme="minorHAnsi"/>
                <w:b/>
                <w:kern w:val="0"/>
                <w:sz w:val="22"/>
                <w:szCs w:val="22"/>
                <w:lang w:val="en-US"/>
                <w14:ligatures w14:val="none"/>
              </w:rPr>
            </w:pPr>
          </w:p>
        </w:tc>
      </w:tr>
      <w:tr w:rsidR="00271A0A" w:rsidRPr="003F3BDE" w:rsidTr="00AD55F5">
        <w:trPr>
          <w:trHeight w:val="432"/>
        </w:trPr>
        <w:tc>
          <w:tcPr>
            <w:tcW w:w="10624" w:type="dxa"/>
            <w:gridSpan w:val="7"/>
            <w:shd w:val="clear" w:color="auto" w:fill="DEEAF6" w:themeFill="accent1" w:themeFillTint="33"/>
            <w:vAlign w:val="center"/>
          </w:tcPr>
          <w:p w:rsidR="00271A0A" w:rsidRPr="003F3BDE" w:rsidRDefault="00AD55F5" w:rsidP="00AD55F5">
            <w:pPr>
              <w:widowControl w:val="0"/>
              <w:autoSpaceDE w:val="0"/>
              <w:autoSpaceDN w:val="0"/>
              <w:rPr>
                <w:rFonts w:eastAsia="Calibri" w:cstheme="minorHAnsi"/>
                <w:b/>
                <w:kern w:val="0"/>
                <w:sz w:val="22"/>
                <w:szCs w:val="22"/>
                <w:lang w:val="en-US"/>
                <w14:ligatures w14:val="none"/>
              </w:rPr>
            </w:pPr>
            <w:r>
              <w:rPr>
                <w:rFonts w:eastAsia="Calibri" w:cstheme="minorHAnsi"/>
                <w:b/>
                <w:kern w:val="0"/>
                <w:sz w:val="22"/>
                <w:szCs w:val="22"/>
                <w:lang w:val="en-US"/>
                <w14:ligatures w14:val="none"/>
              </w:rPr>
              <w:t xml:space="preserve">   F.</w:t>
            </w:r>
            <w:r>
              <w:t xml:space="preserve"> Exceptions for Dangerous Goods of the operator</w:t>
            </w:r>
          </w:p>
        </w:tc>
      </w:tr>
      <w:tr w:rsidR="00271A0A" w:rsidRPr="003F3BDE" w:rsidTr="008C6CDF">
        <w:trPr>
          <w:trHeight w:val="432"/>
        </w:trPr>
        <w:tc>
          <w:tcPr>
            <w:tcW w:w="576" w:type="dxa"/>
            <w:shd w:val="clear" w:color="auto" w:fill="auto"/>
            <w:vAlign w:val="center"/>
          </w:tcPr>
          <w:p w:rsidR="00271A0A" w:rsidRPr="00F83285" w:rsidRDefault="00271A0A" w:rsidP="00AD55F5">
            <w:pPr>
              <w:pStyle w:val="ListParagraph"/>
              <w:widowControl w:val="0"/>
              <w:numPr>
                <w:ilvl w:val="0"/>
                <w:numId w:val="109"/>
              </w:numPr>
              <w:autoSpaceDE w:val="0"/>
              <w:autoSpaceDN w:val="0"/>
              <w:ind w:right="172"/>
              <w:rPr>
                <w:rFonts w:eastAsia="Calibri" w:cstheme="minorHAnsi"/>
                <w:b/>
                <w:kern w:val="0"/>
                <w:sz w:val="20"/>
                <w:szCs w:val="20"/>
                <w:lang w:val="en-US"/>
                <w14:ligatures w14:val="none"/>
              </w:rPr>
            </w:pPr>
          </w:p>
        </w:tc>
        <w:tc>
          <w:tcPr>
            <w:tcW w:w="1440" w:type="dxa"/>
            <w:shd w:val="clear" w:color="auto" w:fill="auto"/>
          </w:tcPr>
          <w:p w:rsidR="00AD55F5" w:rsidRDefault="00AD55F5" w:rsidP="00AD55F5">
            <w:pPr>
              <w:pStyle w:val="TableParagraph"/>
              <w:spacing w:before="60" w:after="60"/>
              <w:ind w:right="115"/>
              <w:rPr>
                <w:sz w:val="18"/>
                <w:szCs w:val="18"/>
              </w:rPr>
            </w:pPr>
            <w:r>
              <w:rPr>
                <w:sz w:val="18"/>
                <w:szCs w:val="18"/>
              </w:rPr>
              <w:t>CAD 02-02</w:t>
            </w:r>
          </w:p>
          <w:p w:rsidR="00271A0A" w:rsidRPr="00CD111B" w:rsidRDefault="00AD55F5" w:rsidP="00AD55F5">
            <w:pPr>
              <w:rPr>
                <w:sz w:val="2"/>
                <w:szCs w:val="2"/>
              </w:rPr>
            </w:pPr>
            <w:r>
              <w:rPr>
                <w:sz w:val="18"/>
                <w:szCs w:val="18"/>
              </w:rPr>
              <w:t>Section G</w:t>
            </w:r>
          </w:p>
        </w:tc>
        <w:tc>
          <w:tcPr>
            <w:tcW w:w="4639" w:type="dxa"/>
            <w:shd w:val="clear" w:color="auto" w:fill="auto"/>
            <w:vAlign w:val="center"/>
          </w:tcPr>
          <w:p w:rsidR="00271A0A" w:rsidRDefault="00AD55F5" w:rsidP="00271A0A">
            <w:pPr>
              <w:pStyle w:val="TableParagraph"/>
              <w:spacing w:before="60" w:after="60"/>
              <w:ind w:left="144" w:right="98"/>
              <w:jc w:val="both"/>
            </w:pPr>
            <w:r>
              <w:t>The provisions of these Instructions do not apply to the Referenced in CAR 92.120 (4) and CAR OPS – See AC OPS and IEM OPS-1.1260 and the ICAO Technical Instructions PART 1 Chapter 2 ;2.2 and IATA DGR 2.5 (as amended).</w:t>
            </w:r>
          </w:p>
          <w:p w:rsidR="00AD55F5" w:rsidRDefault="00E16FB3" w:rsidP="00271A0A">
            <w:pPr>
              <w:pStyle w:val="TableParagraph"/>
              <w:spacing w:before="60" w:after="60"/>
              <w:ind w:left="144" w:right="98"/>
              <w:jc w:val="both"/>
            </w:pPr>
            <w:r>
              <w:t>(CAR</w:t>
            </w:r>
            <w:r w:rsidR="00AD55F5">
              <w:t xml:space="preserve"> 92.120</w:t>
            </w:r>
            <w:r>
              <w:t>)</w:t>
            </w:r>
            <w:r w:rsidR="00AD55F5">
              <w:t xml:space="preserve"> (4) Dangerous goods shall not be loaded within in an area accessible by the passengers, nor the flight deck of an aircraft, except permitted by these Regulations.)</w:t>
            </w:r>
          </w:p>
        </w:tc>
        <w:tc>
          <w:tcPr>
            <w:tcW w:w="833" w:type="dxa"/>
            <w:shd w:val="clear" w:color="auto" w:fill="auto"/>
            <w:vAlign w:val="center"/>
          </w:tcPr>
          <w:p w:rsidR="00271A0A" w:rsidRPr="003F3BDE" w:rsidRDefault="00271A0A"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271A0A" w:rsidRPr="003F3BDE" w:rsidRDefault="00271A0A"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271A0A" w:rsidRPr="003F3BDE" w:rsidRDefault="00271A0A"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271A0A" w:rsidRPr="003F3BDE" w:rsidRDefault="00271A0A" w:rsidP="008C6CDF">
            <w:pPr>
              <w:widowControl w:val="0"/>
              <w:autoSpaceDE w:val="0"/>
              <w:autoSpaceDN w:val="0"/>
              <w:jc w:val="center"/>
              <w:rPr>
                <w:rFonts w:eastAsia="Calibri" w:cstheme="minorHAnsi"/>
                <w:b/>
                <w:kern w:val="0"/>
                <w:sz w:val="22"/>
                <w:szCs w:val="22"/>
                <w:lang w:val="en-US"/>
                <w14:ligatures w14:val="none"/>
              </w:rPr>
            </w:pPr>
          </w:p>
        </w:tc>
      </w:tr>
      <w:tr w:rsidR="00AD55F5" w:rsidRPr="003F3BDE" w:rsidTr="00AD55F5">
        <w:trPr>
          <w:trHeight w:val="432"/>
        </w:trPr>
        <w:tc>
          <w:tcPr>
            <w:tcW w:w="10624" w:type="dxa"/>
            <w:gridSpan w:val="7"/>
            <w:shd w:val="clear" w:color="auto" w:fill="DEEAF6" w:themeFill="accent1" w:themeFillTint="33"/>
            <w:vAlign w:val="center"/>
          </w:tcPr>
          <w:p w:rsidR="00AD55F5" w:rsidRPr="003F3BDE" w:rsidRDefault="00AD55F5" w:rsidP="00AD55F5">
            <w:pPr>
              <w:widowControl w:val="0"/>
              <w:autoSpaceDE w:val="0"/>
              <w:autoSpaceDN w:val="0"/>
              <w:rPr>
                <w:rFonts w:eastAsia="Calibri" w:cstheme="minorHAnsi"/>
                <w:b/>
                <w:kern w:val="0"/>
                <w:sz w:val="22"/>
                <w:szCs w:val="22"/>
                <w:lang w:val="en-US"/>
                <w14:ligatures w14:val="none"/>
              </w:rPr>
            </w:pPr>
            <w:r>
              <w:t xml:space="preserve">  G- Radiation Protection Programme</w:t>
            </w:r>
          </w:p>
        </w:tc>
      </w:tr>
      <w:tr w:rsidR="00AD55F5" w:rsidRPr="003F3BDE" w:rsidTr="008C6CDF">
        <w:trPr>
          <w:trHeight w:val="432"/>
        </w:trPr>
        <w:tc>
          <w:tcPr>
            <w:tcW w:w="576" w:type="dxa"/>
            <w:shd w:val="clear" w:color="auto" w:fill="auto"/>
            <w:vAlign w:val="center"/>
          </w:tcPr>
          <w:p w:rsidR="00AD55F5" w:rsidRPr="00F83285" w:rsidRDefault="00AD55F5" w:rsidP="00AD55F5">
            <w:pPr>
              <w:pStyle w:val="ListParagraph"/>
              <w:widowControl w:val="0"/>
              <w:numPr>
                <w:ilvl w:val="0"/>
                <w:numId w:val="110"/>
              </w:numPr>
              <w:autoSpaceDE w:val="0"/>
              <w:autoSpaceDN w:val="0"/>
              <w:ind w:right="172"/>
              <w:rPr>
                <w:rFonts w:eastAsia="Calibri" w:cstheme="minorHAnsi"/>
                <w:b/>
                <w:kern w:val="0"/>
                <w:sz w:val="20"/>
                <w:szCs w:val="20"/>
                <w:lang w:val="en-US"/>
                <w14:ligatures w14:val="none"/>
              </w:rPr>
            </w:pPr>
          </w:p>
        </w:tc>
        <w:tc>
          <w:tcPr>
            <w:tcW w:w="1440" w:type="dxa"/>
            <w:vMerge w:val="restart"/>
            <w:shd w:val="clear" w:color="auto" w:fill="auto"/>
          </w:tcPr>
          <w:p w:rsidR="00AD55F5" w:rsidRDefault="00AD55F5" w:rsidP="00AD55F5">
            <w:pPr>
              <w:pStyle w:val="TableParagraph"/>
              <w:spacing w:before="60" w:after="60"/>
              <w:ind w:right="115"/>
              <w:rPr>
                <w:sz w:val="18"/>
                <w:szCs w:val="18"/>
              </w:rPr>
            </w:pPr>
            <w:r>
              <w:rPr>
                <w:sz w:val="18"/>
                <w:szCs w:val="18"/>
              </w:rPr>
              <w:t>CAD 02-02</w:t>
            </w:r>
          </w:p>
          <w:p w:rsidR="00AD55F5" w:rsidRPr="00CD111B" w:rsidRDefault="00AD55F5" w:rsidP="00AD55F5">
            <w:pPr>
              <w:rPr>
                <w:sz w:val="2"/>
                <w:szCs w:val="2"/>
              </w:rPr>
            </w:pPr>
            <w:r>
              <w:rPr>
                <w:sz w:val="18"/>
                <w:szCs w:val="18"/>
              </w:rPr>
              <w:t>Section H</w:t>
            </w:r>
          </w:p>
        </w:tc>
        <w:tc>
          <w:tcPr>
            <w:tcW w:w="4639" w:type="dxa"/>
            <w:shd w:val="clear" w:color="auto" w:fill="auto"/>
            <w:vAlign w:val="center"/>
          </w:tcPr>
          <w:p w:rsidR="00AD55F5" w:rsidRDefault="00AD55F5" w:rsidP="00271A0A">
            <w:pPr>
              <w:pStyle w:val="TableParagraph"/>
              <w:spacing w:before="60" w:after="60"/>
              <w:ind w:left="144" w:right="98"/>
              <w:jc w:val="both"/>
            </w:pPr>
            <w:r>
              <w:t>1. This applies to the transport of radioactive material by air, including transport that is incidental to the use of the radioactive material. Transport comprises all operations and conditions associated with and involved in the movement of radioactive material; these include the design, manufacture, maintenance and repair of packaging, and the preparation, consigning, loading, carriage including in-transit storage, unloading and receipt at the final destination of the radioactive material and packages. ICAO T.I. 1-6-1, a graded approach is applied to the performance standards in these Instructions that are characterized by three general severity levels: (</w:t>
            </w:r>
            <w:proofErr w:type="spellStart"/>
            <w:r>
              <w:t>i</w:t>
            </w:r>
            <w:proofErr w:type="spellEnd"/>
            <w:r>
              <w:t>). routine conditions of transport (incident free); (ii). normal conditions of transport (minor mishaps); and</w:t>
            </w:r>
          </w:p>
          <w:p w:rsidR="00AD55F5" w:rsidRDefault="00AD55F5" w:rsidP="00271A0A">
            <w:pPr>
              <w:pStyle w:val="TableParagraph"/>
              <w:spacing w:before="60" w:after="60"/>
              <w:ind w:left="144" w:right="98"/>
              <w:jc w:val="both"/>
            </w:pPr>
            <w:r>
              <w:t xml:space="preserve"> (iii). accident conditions of transport.</w:t>
            </w:r>
          </w:p>
        </w:tc>
        <w:tc>
          <w:tcPr>
            <w:tcW w:w="833" w:type="dxa"/>
            <w:shd w:val="clear" w:color="auto" w:fill="auto"/>
            <w:vAlign w:val="center"/>
          </w:tcPr>
          <w:p w:rsidR="00AD55F5" w:rsidRPr="003F3BDE" w:rsidRDefault="00AD55F5"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D55F5" w:rsidRPr="003F3BDE" w:rsidRDefault="00AD55F5"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r>
      <w:tr w:rsidR="00AD55F5" w:rsidRPr="003F3BDE" w:rsidTr="008C6CDF">
        <w:trPr>
          <w:trHeight w:val="432"/>
        </w:trPr>
        <w:tc>
          <w:tcPr>
            <w:tcW w:w="576" w:type="dxa"/>
            <w:shd w:val="clear" w:color="auto" w:fill="auto"/>
            <w:vAlign w:val="center"/>
          </w:tcPr>
          <w:p w:rsidR="00AD55F5" w:rsidRPr="00F83285" w:rsidRDefault="00AD55F5" w:rsidP="00AD55F5">
            <w:pPr>
              <w:pStyle w:val="ListParagraph"/>
              <w:widowControl w:val="0"/>
              <w:numPr>
                <w:ilvl w:val="0"/>
                <w:numId w:val="110"/>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D55F5" w:rsidRPr="00CD111B" w:rsidRDefault="00AD55F5" w:rsidP="008C6CDF">
            <w:pPr>
              <w:rPr>
                <w:sz w:val="2"/>
                <w:szCs w:val="2"/>
              </w:rPr>
            </w:pPr>
          </w:p>
        </w:tc>
        <w:tc>
          <w:tcPr>
            <w:tcW w:w="4639" w:type="dxa"/>
            <w:shd w:val="clear" w:color="auto" w:fill="auto"/>
            <w:vAlign w:val="center"/>
          </w:tcPr>
          <w:p w:rsidR="00AD55F5" w:rsidRDefault="00AD55F5" w:rsidP="00271A0A">
            <w:pPr>
              <w:pStyle w:val="TableParagraph"/>
              <w:spacing w:before="60" w:after="60"/>
              <w:ind w:left="144" w:right="98"/>
              <w:jc w:val="both"/>
            </w:pPr>
            <w:r>
              <w:t xml:space="preserve">2. These directives do not apply to any of the following: </w:t>
            </w:r>
          </w:p>
          <w:p w:rsidR="00AD55F5" w:rsidRDefault="00AD55F5" w:rsidP="00271A0A">
            <w:pPr>
              <w:pStyle w:val="TableParagraph"/>
              <w:spacing w:before="60" w:after="60"/>
              <w:ind w:left="144" w:right="98"/>
              <w:jc w:val="both"/>
            </w:pPr>
            <w:r>
              <w:t>(</w:t>
            </w:r>
            <w:proofErr w:type="spellStart"/>
            <w:r>
              <w:t>i</w:t>
            </w:r>
            <w:proofErr w:type="spellEnd"/>
            <w:r>
              <w:t xml:space="preserve">). Radioactive material implanted or incorporated into a person or live animal for diagnosis or treatment;                               </w:t>
            </w:r>
          </w:p>
          <w:p w:rsidR="00AD55F5" w:rsidRDefault="00AD55F5" w:rsidP="00271A0A">
            <w:pPr>
              <w:pStyle w:val="TableParagraph"/>
              <w:spacing w:before="60" w:after="60"/>
              <w:ind w:left="144" w:right="98"/>
              <w:jc w:val="both"/>
            </w:pPr>
            <w:r>
              <w:t xml:space="preserve">(ii). Radioactive material in or on a person who is to be transported for medical treatment because the person has been subject to accidental or deliberate intake of </w:t>
            </w:r>
            <w:r w:rsidR="00E16FB3">
              <w:t>or contamination</w:t>
            </w:r>
            <w:r>
              <w:t xml:space="preserve"> from radioactive material, </w:t>
            </w:r>
            <w:proofErr w:type="gramStart"/>
            <w:r>
              <w:t>taking into account</w:t>
            </w:r>
            <w:proofErr w:type="gramEnd"/>
            <w:r>
              <w:t xml:space="preserve"> the necessary radiological protection measures with respect to other passengers and crew, subject to approval by the operator;</w:t>
            </w:r>
          </w:p>
        </w:tc>
        <w:tc>
          <w:tcPr>
            <w:tcW w:w="833" w:type="dxa"/>
            <w:shd w:val="clear" w:color="auto" w:fill="auto"/>
            <w:vAlign w:val="center"/>
          </w:tcPr>
          <w:p w:rsidR="00AD55F5" w:rsidRPr="003F3BDE" w:rsidRDefault="00AD55F5"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D55F5" w:rsidRPr="003F3BDE" w:rsidRDefault="00AD55F5"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r>
      <w:tr w:rsidR="00AD55F5" w:rsidRPr="003F3BDE" w:rsidTr="008C6CDF">
        <w:trPr>
          <w:trHeight w:val="432"/>
        </w:trPr>
        <w:tc>
          <w:tcPr>
            <w:tcW w:w="576" w:type="dxa"/>
            <w:shd w:val="clear" w:color="auto" w:fill="auto"/>
            <w:vAlign w:val="center"/>
          </w:tcPr>
          <w:p w:rsidR="00AD55F5" w:rsidRPr="00F83285" w:rsidRDefault="00AD55F5" w:rsidP="00AD55F5">
            <w:pPr>
              <w:pStyle w:val="ListParagraph"/>
              <w:widowControl w:val="0"/>
              <w:numPr>
                <w:ilvl w:val="0"/>
                <w:numId w:val="110"/>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D55F5" w:rsidRPr="00CD111B" w:rsidRDefault="00AD55F5" w:rsidP="008C6CDF">
            <w:pPr>
              <w:rPr>
                <w:sz w:val="2"/>
                <w:szCs w:val="2"/>
              </w:rPr>
            </w:pPr>
          </w:p>
        </w:tc>
        <w:tc>
          <w:tcPr>
            <w:tcW w:w="4639" w:type="dxa"/>
            <w:shd w:val="clear" w:color="auto" w:fill="auto"/>
            <w:vAlign w:val="center"/>
          </w:tcPr>
          <w:p w:rsidR="00AD55F5" w:rsidRDefault="00AD55F5" w:rsidP="00271A0A">
            <w:pPr>
              <w:pStyle w:val="TableParagraph"/>
              <w:spacing w:before="60" w:after="60"/>
              <w:ind w:left="144" w:right="98"/>
              <w:jc w:val="both"/>
            </w:pPr>
            <w:r>
              <w:t xml:space="preserve">3. The transport of radioactive material must be subject to a radiation protection </w:t>
            </w:r>
            <w:proofErr w:type="spellStart"/>
            <w:r>
              <w:t>programme</w:t>
            </w:r>
            <w:proofErr w:type="spellEnd"/>
            <w:r>
              <w:t xml:space="preserve">, which must consist of systematic arrangements aimed at providing adequate consideration of radiation protection measures. </w:t>
            </w:r>
          </w:p>
        </w:tc>
        <w:tc>
          <w:tcPr>
            <w:tcW w:w="833" w:type="dxa"/>
            <w:shd w:val="clear" w:color="auto" w:fill="auto"/>
            <w:vAlign w:val="center"/>
          </w:tcPr>
          <w:p w:rsidR="00AD55F5" w:rsidRPr="003F3BDE" w:rsidRDefault="00AD55F5"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D55F5" w:rsidRPr="003F3BDE" w:rsidRDefault="00AD55F5"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r>
      <w:tr w:rsidR="00AD55F5" w:rsidRPr="003F3BDE" w:rsidTr="008C6CDF">
        <w:trPr>
          <w:trHeight w:val="432"/>
        </w:trPr>
        <w:tc>
          <w:tcPr>
            <w:tcW w:w="576" w:type="dxa"/>
            <w:shd w:val="clear" w:color="auto" w:fill="auto"/>
            <w:vAlign w:val="center"/>
          </w:tcPr>
          <w:p w:rsidR="00AD55F5" w:rsidRPr="00F83285" w:rsidRDefault="00AD55F5" w:rsidP="00AD55F5">
            <w:pPr>
              <w:pStyle w:val="ListParagraph"/>
              <w:widowControl w:val="0"/>
              <w:numPr>
                <w:ilvl w:val="0"/>
                <w:numId w:val="110"/>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D55F5" w:rsidRPr="00CD111B" w:rsidRDefault="00AD55F5" w:rsidP="008C6CDF">
            <w:pPr>
              <w:rPr>
                <w:sz w:val="2"/>
                <w:szCs w:val="2"/>
              </w:rPr>
            </w:pPr>
          </w:p>
        </w:tc>
        <w:tc>
          <w:tcPr>
            <w:tcW w:w="4639" w:type="dxa"/>
            <w:shd w:val="clear" w:color="auto" w:fill="auto"/>
            <w:vAlign w:val="center"/>
          </w:tcPr>
          <w:p w:rsidR="00AD55F5" w:rsidRDefault="00AD55F5" w:rsidP="00271A0A">
            <w:pPr>
              <w:pStyle w:val="TableParagraph"/>
              <w:spacing w:before="60" w:after="60"/>
              <w:ind w:left="144" w:right="98"/>
              <w:jc w:val="both"/>
            </w:pPr>
            <w:r>
              <w:t xml:space="preserve">4. Doses to persons must be below the relevant dose limits. Protection and safety must be optimized in order that the magnitude of individual doses, the number of persons exposed and the likelihood of incurring exposure must be kept as low as reasonably achievable, economic and social factors being </w:t>
            </w:r>
            <w:proofErr w:type="gramStart"/>
            <w:r>
              <w:t>taken into account</w:t>
            </w:r>
            <w:proofErr w:type="gramEnd"/>
            <w:r>
              <w:t>, within the restriction that the doses to individuals are subject to dose constraints. A structured and systematic approach must be adopted and must include consideration of the interfaces between transport and other activities.</w:t>
            </w:r>
          </w:p>
        </w:tc>
        <w:tc>
          <w:tcPr>
            <w:tcW w:w="833" w:type="dxa"/>
            <w:shd w:val="clear" w:color="auto" w:fill="auto"/>
            <w:vAlign w:val="center"/>
          </w:tcPr>
          <w:p w:rsidR="00AD55F5" w:rsidRPr="003F3BDE" w:rsidRDefault="00AD55F5"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D55F5" w:rsidRPr="003F3BDE" w:rsidRDefault="00AD55F5"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r>
      <w:tr w:rsidR="00AD55F5" w:rsidRPr="003F3BDE" w:rsidTr="008C6CDF">
        <w:trPr>
          <w:trHeight w:val="432"/>
        </w:trPr>
        <w:tc>
          <w:tcPr>
            <w:tcW w:w="576" w:type="dxa"/>
            <w:shd w:val="clear" w:color="auto" w:fill="auto"/>
            <w:vAlign w:val="center"/>
          </w:tcPr>
          <w:p w:rsidR="00AD55F5" w:rsidRPr="00F83285" w:rsidRDefault="00AD55F5" w:rsidP="00AD55F5">
            <w:pPr>
              <w:pStyle w:val="ListParagraph"/>
              <w:widowControl w:val="0"/>
              <w:numPr>
                <w:ilvl w:val="0"/>
                <w:numId w:val="110"/>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D55F5" w:rsidRPr="00CD111B" w:rsidRDefault="00AD55F5" w:rsidP="008C6CDF">
            <w:pPr>
              <w:rPr>
                <w:sz w:val="2"/>
                <w:szCs w:val="2"/>
              </w:rPr>
            </w:pPr>
          </w:p>
        </w:tc>
        <w:tc>
          <w:tcPr>
            <w:tcW w:w="4639" w:type="dxa"/>
            <w:shd w:val="clear" w:color="auto" w:fill="auto"/>
            <w:vAlign w:val="center"/>
          </w:tcPr>
          <w:p w:rsidR="00AD55F5" w:rsidRDefault="00AD55F5" w:rsidP="00AD55F5">
            <w:pPr>
              <w:pStyle w:val="TableParagraph"/>
              <w:spacing w:before="60" w:after="60"/>
              <w:ind w:left="144" w:right="98"/>
              <w:jc w:val="both"/>
            </w:pPr>
            <w:r>
              <w:t xml:space="preserve">5. The nature and extent of the measures to be employed in the </w:t>
            </w:r>
            <w:proofErr w:type="spellStart"/>
            <w:r>
              <w:t>programme</w:t>
            </w:r>
            <w:proofErr w:type="spellEnd"/>
            <w:r>
              <w:t xml:space="preserve"> must be related to the magnitude and likelihood of radiation exposure. The </w:t>
            </w:r>
            <w:proofErr w:type="spellStart"/>
            <w:r>
              <w:t>programme</w:t>
            </w:r>
            <w:proofErr w:type="spellEnd"/>
            <w:r>
              <w:t xml:space="preserve"> must incorporate the requirements documented in this chapter 9 and </w:t>
            </w:r>
            <w:proofErr w:type="spellStart"/>
            <w:r>
              <w:t>Programme</w:t>
            </w:r>
            <w:proofErr w:type="spellEnd"/>
            <w:r>
              <w:t xml:space="preserve"> documents must be available, on request, for inspection by the relevant competent authority. </w:t>
            </w:r>
          </w:p>
        </w:tc>
        <w:tc>
          <w:tcPr>
            <w:tcW w:w="833" w:type="dxa"/>
            <w:shd w:val="clear" w:color="auto" w:fill="auto"/>
            <w:vAlign w:val="center"/>
          </w:tcPr>
          <w:p w:rsidR="00AD55F5" w:rsidRPr="003F3BDE" w:rsidRDefault="00AD55F5"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D55F5" w:rsidRPr="003F3BDE" w:rsidRDefault="00AD55F5"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r>
      <w:tr w:rsidR="00AD55F5" w:rsidRPr="003F3BDE" w:rsidTr="008C6CDF">
        <w:trPr>
          <w:trHeight w:val="432"/>
        </w:trPr>
        <w:tc>
          <w:tcPr>
            <w:tcW w:w="576" w:type="dxa"/>
            <w:shd w:val="clear" w:color="auto" w:fill="auto"/>
            <w:vAlign w:val="center"/>
          </w:tcPr>
          <w:p w:rsidR="00AD55F5" w:rsidRPr="00F83285" w:rsidRDefault="00AD55F5" w:rsidP="00AD55F5">
            <w:pPr>
              <w:pStyle w:val="ListParagraph"/>
              <w:widowControl w:val="0"/>
              <w:numPr>
                <w:ilvl w:val="0"/>
                <w:numId w:val="110"/>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D55F5" w:rsidRPr="00CD111B" w:rsidRDefault="00AD55F5" w:rsidP="008C6CDF">
            <w:pPr>
              <w:rPr>
                <w:sz w:val="2"/>
                <w:szCs w:val="2"/>
              </w:rPr>
            </w:pPr>
          </w:p>
        </w:tc>
        <w:tc>
          <w:tcPr>
            <w:tcW w:w="4639" w:type="dxa"/>
            <w:shd w:val="clear" w:color="auto" w:fill="auto"/>
            <w:vAlign w:val="center"/>
          </w:tcPr>
          <w:p w:rsidR="00AD55F5" w:rsidRDefault="00AD55F5" w:rsidP="00271A0A">
            <w:pPr>
              <w:pStyle w:val="TableParagraph"/>
              <w:spacing w:before="60" w:after="60"/>
              <w:ind w:left="144" w:right="98"/>
              <w:jc w:val="both"/>
            </w:pPr>
            <w:r>
              <w:t xml:space="preserve">6. For occupational exposure arising from transport activities, where it is assessed that the effective dose either: </w:t>
            </w:r>
          </w:p>
          <w:p w:rsidR="00AD55F5" w:rsidRDefault="00AD55F5" w:rsidP="00271A0A">
            <w:pPr>
              <w:pStyle w:val="TableParagraph"/>
              <w:spacing w:before="60" w:after="60"/>
              <w:ind w:left="144" w:right="98"/>
              <w:jc w:val="both"/>
            </w:pPr>
            <w:r>
              <w:t>(</w:t>
            </w:r>
            <w:proofErr w:type="spellStart"/>
            <w:r>
              <w:t>i</w:t>
            </w:r>
            <w:proofErr w:type="spellEnd"/>
            <w:r>
              <w:t xml:space="preserve">). is likely to be between 1 and 6 mSv in a year, a dose assessment </w:t>
            </w:r>
            <w:proofErr w:type="spellStart"/>
            <w:r>
              <w:t>programme</w:t>
            </w:r>
            <w:proofErr w:type="spellEnd"/>
            <w:r>
              <w:t xml:space="preserve"> via workplace monitoring or individual monitoring must be conducted; or </w:t>
            </w:r>
          </w:p>
          <w:p w:rsidR="00AD55F5" w:rsidRDefault="00AD55F5" w:rsidP="00271A0A">
            <w:pPr>
              <w:pStyle w:val="TableParagraph"/>
              <w:spacing w:before="60" w:after="60"/>
              <w:ind w:left="144" w:right="98"/>
              <w:jc w:val="both"/>
            </w:pPr>
            <w:r>
              <w:t xml:space="preserve">(ii). is likely to exceed 6 mSv in a year, individual monitoring must be conducted. </w:t>
            </w:r>
          </w:p>
        </w:tc>
        <w:tc>
          <w:tcPr>
            <w:tcW w:w="833" w:type="dxa"/>
            <w:shd w:val="clear" w:color="auto" w:fill="auto"/>
            <w:vAlign w:val="center"/>
          </w:tcPr>
          <w:p w:rsidR="00AD55F5" w:rsidRPr="003F3BDE" w:rsidRDefault="00AD55F5"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D55F5" w:rsidRPr="003F3BDE" w:rsidRDefault="00AD55F5"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r>
      <w:tr w:rsidR="00AD55F5" w:rsidRPr="003F3BDE" w:rsidTr="008C6CDF">
        <w:trPr>
          <w:trHeight w:val="432"/>
        </w:trPr>
        <w:tc>
          <w:tcPr>
            <w:tcW w:w="576" w:type="dxa"/>
            <w:shd w:val="clear" w:color="auto" w:fill="auto"/>
            <w:vAlign w:val="center"/>
          </w:tcPr>
          <w:p w:rsidR="00AD55F5" w:rsidRPr="00F83285" w:rsidRDefault="00AD55F5" w:rsidP="00AD55F5">
            <w:pPr>
              <w:pStyle w:val="ListParagraph"/>
              <w:widowControl w:val="0"/>
              <w:numPr>
                <w:ilvl w:val="0"/>
                <w:numId w:val="110"/>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D55F5" w:rsidRPr="00CD111B" w:rsidRDefault="00AD55F5" w:rsidP="008C6CDF">
            <w:pPr>
              <w:rPr>
                <w:sz w:val="2"/>
                <w:szCs w:val="2"/>
              </w:rPr>
            </w:pPr>
          </w:p>
        </w:tc>
        <w:tc>
          <w:tcPr>
            <w:tcW w:w="4639" w:type="dxa"/>
            <w:shd w:val="clear" w:color="auto" w:fill="auto"/>
            <w:vAlign w:val="center"/>
          </w:tcPr>
          <w:p w:rsidR="001A6AC1" w:rsidRDefault="00AD55F5" w:rsidP="00271A0A">
            <w:pPr>
              <w:pStyle w:val="TableParagraph"/>
              <w:spacing w:before="60" w:after="60"/>
              <w:ind w:left="144" w:right="98"/>
              <w:jc w:val="both"/>
            </w:pPr>
            <w:r>
              <w:t>7. When workplace monitoring or individual monitoring is conducted, appropriate records must be kept.</w:t>
            </w:r>
          </w:p>
          <w:p w:rsidR="00AD55F5" w:rsidRDefault="00AD55F5" w:rsidP="00271A0A">
            <w:pPr>
              <w:pStyle w:val="TableParagraph"/>
              <w:spacing w:before="60" w:after="60"/>
              <w:ind w:left="144" w:right="98"/>
              <w:jc w:val="both"/>
            </w:pPr>
            <w:r>
              <w:t xml:space="preserve"> Note: For occupational exposure arising from transport activities, where it is assessed that the effective dose is most unlikely to exceed 1 mSv in a year, no special work patterns, detailed monitoring, dose assessment </w:t>
            </w:r>
            <w:proofErr w:type="spellStart"/>
            <w:r>
              <w:t>programmes</w:t>
            </w:r>
            <w:proofErr w:type="spellEnd"/>
            <w:r>
              <w:t xml:space="preserve"> or individual record-keeping need be required.</w:t>
            </w:r>
          </w:p>
        </w:tc>
        <w:tc>
          <w:tcPr>
            <w:tcW w:w="833" w:type="dxa"/>
            <w:shd w:val="clear" w:color="auto" w:fill="auto"/>
            <w:vAlign w:val="center"/>
          </w:tcPr>
          <w:p w:rsidR="00AD55F5" w:rsidRPr="003F3BDE" w:rsidRDefault="00AD55F5"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D55F5" w:rsidRPr="003F3BDE" w:rsidRDefault="00AD55F5"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r>
      <w:tr w:rsidR="00AD55F5" w:rsidRPr="003F3BDE" w:rsidTr="008C6CDF">
        <w:trPr>
          <w:trHeight w:val="432"/>
        </w:trPr>
        <w:tc>
          <w:tcPr>
            <w:tcW w:w="576" w:type="dxa"/>
            <w:shd w:val="clear" w:color="auto" w:fill="auto"/>
            <w:vAlign w:val="center"/>
          </w:tcPr>
          <w:p w:rsidR="00AD55F5" w:rsidRPr="00F83285" w:rsidRDefault="00AD55F5" w:rsidP="00AD55F5">
            <w:pPr>
              <w:pStyle w:val="ListParagraph"/>
              <w:widowControl w:val="0"/>
              <w:numPr>
                <w:ilvl w:val="0"/>
                <w:numId w:val="110"/>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D55F5" w:rsidRPr="00CD111B" w:rsidRDefault="00AD55F5" w:rsidP="008C6CDF">
            <w:pPr>
              <w:rPr>
                <w:sz w:val="2"/>
                <w:szCs w:val="2"/>
              </w:rPr>
            </w:pPr>
          </w:p>
        </w:tc>
        <w:tc>
          <w:tcPr>
            <w:tcW w:w="4639" w:type="dxa"/>
            <w:shd w:val="clear" w:color="auto" w:fill="auto"/>
            <w:vAlign w:val="center"/>
          </w:tcPr>
          <w:p w:rsidR="00AD55F5" w:rsidRDefault="001A6AC1" w:rsidP="00271A0A">
            <w:pPr>
              <w:pStyle w:val="TableParagraph"/>
              <w:spacing w:before="60" w:after="60"/>
              <w:ind w:left="144" w:right="98"/>
              <w:jc w:val="both"/>
            </w:pPr>
            <w:r>
              <w:t>8. In the event of a nuclear or radiological emergency during the transport of radioactive material, provisions, as established by relevant national such as the environmental and health authority and/or international organizations, must be observed to protect people, property and the environment. This includes arrangements for preparedness and response established in accordance with the national and/or international requirements and in a consistent and coordinated manner with the national and/or international emergency arrangements.</w:t>
            </w:r>
          </w:p>
        </w:tc>
        <w:tc>
          <w:tcPr>
            <w:tcW w:w="833" w:type="dxa"/>
            <w:shd w:val="clear" w:color="auto" w:fill="auto"/>
            <w:vAlign w:val="center"/>
          </w:tcPr>
          <w:p w:rsidR="00AD55F5" w:rsidRPr="003F3BDE" w:rsidRDefault="00AD55F5"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D55F5" w:rsidRPr="003F3BDE" w:rsidRDefault="00AD55F5"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r>
      <w:tr w:rsidR="00AD55F5" w:rsidRPr="003F3BDE" w:rsidTr="008C6CDF">
        <w:trPr>
          <w:trHeight w:val="432"/>
        </w:trPr>
        <w:tc>
          <w:tcPr>
            <w:tcW w:w="576" w:type="dxa"/>
            <w:shd w:val="clear" w:color="auto" w:fill="auto"/>
            <w:vAlign w:val="center"/>
          </w:tcPr>
          <w:p w:rsidR="00AD55F5" w:rsidRPr="00F83285" w:rsidRDefault="00AD55F5" w:rsidP="00AD55F5">
            <w:pPr>
              <w:pStyle w:val="ListParagraph"/>
              <w:widowControl w:val="0"/>
              <w:numPr>
                <w:ilvl w:val="0"/>
                <w:numId w:val="110"/>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D55F5" w:rsidRPr="00CD111B" w:rsidRDefault="00AD55F5" w:rsidP="008C6CDF">
            <w:pPr>
              <w:rPr>
                <w:sz w:val="2"/>
                <w:szCs w:val="2"/>
              </w:rPr>
            </w:pPr>
          </w:p>
        </w:tc>
        <w:tc>
          <w:tcPr>
            <w:tcW w:w="4639" w:type="dxa"/>
            <w:shd w:val="clear" w:color="auto" w:fill="auto"/>
            <w:vAlign w:val="center"/>
          </w:tcPr>
          <w:p w:rsidR="001A6AC1" w:rsidRDefault="001A6AC1" w:rsidP="00271A0A">
            <w:pPr>
              <w:pStyle w:val="TableParagraph"/>
              <w:spacing w:before="60" w:after="60"/>
              <w:ind w:left="144" w:right="98"/>
              <w:jc w:val="both"/>
            </w:pPr>
            <w:r>
              <w:t>9. The arrangements for preparedness and response must be based on the graded approach and take into consideration the identified hazards and their potential consequences, including the formation of other dangerous substances that may result from the reaction between the contents of a consignment and the environment in the event of a nuclear or radiological emergency.</w:t>
            </w:r>
          </w:p>
          <w:p w:rsidR="00AD55F5" w:rsidRDefault="001A6AC1" w:rsidP="00271A0A">
            <w:pPr>
              <w:pStyle w:val="TableParagraph"/>
              <w:spacing w:before="60" w:after="60"/>
              <w:ind w:left="144" w:right="98"/>
              <w:jc w:val="both"/>
            </w:pPr>
            <w:r>
              <w:t>Note: Guidance for the establishment of such arrangements is contained in Preparedness and Response for a Nuclear or Radiological Emergency, IAEA Safety Standards Series No. GSR Part 7, IAEA, Vienna (2015); Criteria for Use in Preparedness and Response for a Nuclear or Radiological Emergency, IAEA Safety Standards Series No. GSG-2, IAEA, Vienna (2011); Arrangements for Preparedness for a Nuclear or Radiological Emergency, IAEA Safety Standards Series No. GS-G-2.1, IAEA, Vienna (2007), and Arrangements for the Termination of a Nuclear or Radiological Emergency, IAEA Safety Standards Series No. GSG-11, IAEA, Vienna (2018).</w:t>
            </w:r>
          </w:p>
        </w:tc>
        <w:tc>
          <w:tcPr>
            <w:tcW w:w="833" w:type="dxa"/>
            <w:shd w:val="clear" w:color="auto" w:fill="auto"/>
            <w:vAlign w:val="center"/>
          </w:tcPr>
          <w:p w:rsidR="00AD55F5" w:rsidRPr="003F3BDE" w:rsidRDefault="00AD55F5"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D55F5" w:rsidRPr="003F3BDE" w:rsidRDefault="00AD55F5"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r>
      <w:tr w:rsidR="00AD55F5" w:rsidRPr="003F3BDE" w:rsidTr="008C6CDF">
        <w:trPr>
          <w:trHeight w:val="432"/>
        </w:trPr>
        <w:tc>
          <w:tcPr>
            <w:tcW w:w="576" w:type="dxa"/>
            <w:shd w:val="clear" w:color="auto" w:fill="auto"/>
            <w:vAlign w:val="center"/>
          </w:tcPr>
          <w:p w:rsidR="00AD55F5" w:rsidRPr="00F83285" w:rsidRDefault="00AD55F5" w:rsidP="00AD55F5">
            <w:pPr>
              <w:pStyle w:val="ListParagraph"/>
              <w:widowControl w:val="0"/>
              <w:numPr>
                <w:ilvl w:val="0"/>
                <w:numId w:val="110"/>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D55F5" w:rsidRPr="00CD111B" w:rsidRDefault="00AD55F5" w:rsidP="008C6CDF">
            <w:pPr>
              <w:rPr>
                <w:sz w:val="2"/>
                <w:szCs w:val="2"/>
              </w:rPr>
            </w:pPr>
          </w:p>
        </w:tc>
        <w:tc>
          <w:tcPr>
            <w:tcW w:w="4639" w:type="dxa"/>
            <w:shd w:val="clear" w:color="auto" w:fill="auto"/>
            <w:vAlign w:val="center"/>
          </w:tcPr>
          <w:p w:rsidR="00AD55F5" w:rsidRDefault="001A6AC1" w:rsidP="00271A0A">
            <w:pPr>
              <w:pStyle w:val="TableParagraph"/>
              <w:spacing w:before="60" w:after="60"/>
              <w:ind w:left="144" w:right="98"/>
              <w:jc w:val="both"/>
            </w:pPr>
            <w:r>
              <w:t>10. Personnel must be appropriately trained in the radiation hazards involved and the precautions to be observed in order to ensure restriction of their exposure and that of other persons who might be affected by their actions.</w:t>
            </w:r>
          </w:p>
        </w:tc>
        <w:tc>
          <w:tcPr>
            <w:tcW w:w="833" w:type="dxa"/>
            <w:shd w:val="clear" w:color="auto" w:fill="auto"/>
            <w:vAlign w:val="center"/>
          </w:tcPr>
          <w:p w:rsidR="00AD55F5" w:rsidRPr="003F3BDE" w:rsidRDefault="00AD55F5"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D55F5" w:rsidRPr="003F3BDE" w:rsidRDefault="00AD55F5"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r>
      <w:tr w:rsidR="00AD55F5" w:rsidRPr="003F3BDE" w:rsidTr="008C6CDF">
        <w:trPr>
          <w:trHeight w:val="432"/>
        </w:trPr>
        <w:tc>
          <w:tcPr>
            <w:tcW w:w="576" w:type="dxa"/>
            <w:shd w:val="clear" w:color="auto" w:fill="auto"/>
            <w:vAlign w:val="center"/>
          </w:tcPr>
          <w:p w:rsidR="00AD55F5" w:rsidRPr="00F83285" w:rsidRDefault="00AD55F5" w:rsidP="00AD55F5">
            <w:pPr>
              <w:pStyle w:val="ListParagraph"/>
              <w:widowControl w:val="0"/>
              <w:numPr>
                <w:ilvl w:val="0"/>
                <w:numId w:val="110"/>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D55F5" w:rsidRPr="00CD111B" w:rsidRDefault="00AD55F5" w:rsidP="008C6CDF">
            <w:pPr>
              <w:rPr>
                <w:sz w:val="2"/>
                <w:szCs w:val="2"/>
              </w:rPr>
            </w:pPr>
          </w:p>
        </w:tc>
        <w:tc>
          <w:tcPr>
            <w:tcW w:w="4639" w:type="dxa"/>
            <w:shd w:val="clear" w:color="auto" w:fill="auto"/>
            <w:vAlign w:val="center"/>
          </w:tcPr>
          <w:p w:rsidR="00AD55F5" w:rsidRDefault="001A6AC1" w:rsidP="00271A0A">
            <w:pPr>
              <w:pStyle w:val="TableParagraph"/>
              <w:spacing w:before="60" w:after="60"/>
              <w:ind w:left="144" w:right="98"/>
              <w:jc w:val="both"/>
            </w:pPr>
            <w:r>
              <w:t>11. The radiation exposure of transport and storage personnel must be so controlled that none of them are likely to receive a radiation dose in excess of that permitted for members of the public. In special cases, arrangements may be made with the competent authority for radiological control to have such personnel classified as radiation workers and to comply with the necessary provisions.</w:t>
            </w:r>
          </w:p>
        </w:tc>
        <w:tc>
          <w:tcPr>
            <w:tcW w:w="833" w:type="dxa"/>
            <w:shd w:val="clear" w:color="auto" w:fill="auto"/>
            <w:vAlign w:val="center"/>
          </w:tcPr>
          <w:p w:rsidR="00AD55F5" w:rsidRPr="003F3BDE" w:rsidRDefault="00AD55F5"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D55F5" w:rsidRPr="003F3BDE" w:rsidRDefault="00AD55F5"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r>
      <w:tr w:rsidR="00AD55F5" w:rsidRPr="003F3BDE" w:rsidTr="008C6CDF">
        <w:trPr>
          <w:trHeight w:val="432"/>
        </w:trPr>
        <w:tc>
          <w:tcPr>
            <w:tcW w:w="576" w:type="dxa"/>
            <w:shd w:val="clear" w:color="auto" w:fill="auto"/>
            <w:vAlign w:val="center"/>
          </w:tcPr>
          <w:p w:rsidR="00AD55F5" w:rsidRPr="00F83285" w:rsidRDefault="00AD55F5" w:rsidP="00AD55F5">
            <w:pPr>
              <w:pStyle w:val="ListParagraph"/>
              <w:widowControl w:val="0"/>
              <w:numPr>
                <w:ilvl w:val="0"/>
                <w:numId w:val="110"/>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D55F5" w:rsidRPr="00CD111B" w:rsidRDefault="00AD55F5" w:rsidP="008C6CDF">
            <w:pPr>
              <w:rPr>
                <w:sz w:val="2"/>
                <w:szCs w:val="2"/>
              </w:rPr>
            </w:pPr>
          </w:p>
        </w:tc>
        <w:tc>
          <w:tcPr>
            <w:tcW w:w="4639" w:type="dxa"/>
            <w:shd w:val="clear" w:color="auto" w:fill="auto"/>
            <w:vAlign w:val="center"/>
          </w:tcPr>
          <w:p w:rsidR="00AD55F5" w:rsidRDefault="001A6AC1" w:rsidP="00271A0A">
            <w:pPr>
              <w:pStyle w:val="TableParagraph"/>
              <w:spacing w:before="60" w:after="60"/>
              <w:ind w:left="144" w:right="98"/>
              <w:jc w:val="both"/>
            </w:pPr>
            <w:r>
              <w:t>12. All relevant transport and storage personnel must receive such instructions as are necessary concerning the hazards involved and the precautions to be observed.</w:t>
            </w:r>
          </w:p>
        </w:tc>
        <w:tc>
          <w:tcPr>
            <w:tcW w:w="833" w:type="dxa"/>
            <w:shd w:val="clear" w:color="auto" w:fill="auto"/>
            <w:vAlign w:val="center"/>
          </w:tcPr>
          <w:p w:rsidR="00AD55F5" w:rsidRPr="003F3BDE" w:rsidRDefault="00AD55F5"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D55F5" w:rsidRPr="003F3BDE" w:rsidRDefault="00AD55F5"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r>
      <w:tr w:rsidR="00AD55F5" w:rsidRPr="003F3BDE" w:rsidTr="008C6CDF">
        <w:trPr>
          <w:trHeight w:val="432"/>
        </w:trPr>
        <w:tc>
          <w:tcPr>
            <w:tcW w:w="576" w:type="dxa"/>
            <w:shd w:val="clear" w:color="auto" w:fill="auto"/>
            <w:vAlign w:val="center"/>
          </w:tcPr>
          <w:p w:rsidR="00AD55F5" w:rsidRPr="00F83285" w:rsidRDefault="00AD55F5" w:rsidP="00AD55F5">
            <w:pPr>
              <w:pStyle w:val="ListParagraph"/>
              <w:widowControl w:val="0"/>
              <w:numPr>
                <w:ilvl w:val="0"/>
                <w:numId w:val="110"/>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D55F5" w:rsidRPr="00CD111B" w:rsidRDefault="00AD55F5" w:rsidP="008C6CDF">
            <w:pPr>
              <w:rPr>
                <w:sz w:val="2"/>
                <w:szCs w:val="2"/>
              </w:rPr>
            </w:pPr>
          </w:p>
        </w:tc>
        <w:tc>
          <w:tcPr>
            <w:tcW w:w="4639" w:type="dxa"/>
            <w:shd w:val="clear" w:color="auto" w:fill="auto"/>
            <w:vAlign w:val="center"/>
          </w:tcPr>
          <w:p w:rsidR="00AD55F5" w:rsidRDefault="001A6AC1" w:rsidP="00271A0A">
            <w:pPr>
              <w:pStyle w:val="TableParagraph"/>
              <w:spacing w:before="60" w:after="60"/>
              <w:ind w:left="144" w:right="98"/>
              <w:jc w:val="both"/>
            </w:pPr>
            <w:r>
              <w:t>13. Special considerations shall be taken by all entities and personnel involved in the transport of radioactive material with reference to Resolution no. 79/2023, The Regulation of Radiation Protection, dated 25th June 2023. However, the most restrictive Regulation shall be applicable.</w:t>
            </w:r>
          </w:p>
        </w:tc>
        <w:tc>
          <w:tcPr>
            <w:tcW w:w="833" w:type="dxa"/>
            <w:shd w:val="clear" w:color="auto" w:fill="auto"/>
            <w:vAlign w:val="center"/>
          </w:tcPr>
          <w:p w:rsidR="00AD55F5" w:rsidRPr="003F3BDE" w:rsidRDefault="00AD55F5"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D55F5" w:rsidRPr="003F3BDE" w:rsidRDefault="00AD55F5"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r>
      <w:tr w:rsidR="00AD55F5" w:rsidRPr="003F3BDE" w:rsidTr="008C6CDF">
        <w:trPr>
          <w:trHeight w:val="432"/>
        </w:trPr>
        <w:tc>
          <w:tcPr>
            <w:tcW w:w="576" w:type="dxa"/>
            <w:shd w:val="clear" w:color="auto" w:fill="auto"/>
            <w:vAlign w:val="center"/>
          </w:tcPr>
          <w:p w:rsidR="00AD55F5" w:rsidRPr="00F83285" w:rsidRDefault="00AD55F5" w:rsidP="00AD55F5">
            <w:pPr>
              <w:pStyle w:val="ListParagraph"/>
              <w:widowControl w:val="0"/>
              <w:numPr>
                <w:ilvl w:val="0"/>
                <w:numId w:val="110"/>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D55F5" w:rsidRPr="00CD111B" w:rsidRDefault="00AD55F5" w:rsidP="008C6CDF">
            <w:pPr>
              <w:rPr>
                <w:sz w:val="2"/>
                <w:szCs w:val="2"/>
              </w:rPr>
            </w:pPr>
          </w:p>
        </w:tc>
        <w:tc>
          <w:tcPr>
            <w:tcW w:w="4639" w:type="dxa"/>
            <w:shd w:val="clear" w:color="auto" w:fill="auto"/>
            <w:vAlign w:val="center"/>
          </w:tcPr>
          <w:p w:rsidR="001A6AC1" w:rsidRPr="001A6AC1" w:rsidRDefault="001A6AC1" w:rsidP="001A6AC1">
            <w:pPr>
              <w:pStyle w:val="TableParagraph"/>
              <w:spacing w:before="60" w:after="60"/>
              <w:ind w:right="115"/>
              <w:jc w:val="both"/>
            </w:pPr>
            <w:r>
              <w:t>NOT: Paragraphs from 14.1 to 14.14 (</w:t>
            </w:r>
            <w:r w:rsidRPr="001A6AC1">
              <w:t>CAD 02-02</w:t>
            </w:r>
          </w:p>
          <w:p w:rsidR="00AD55F5" w:rsidRDefault="001A6AC1" w:rsidP="001A6AC1">
            <w:pPr>
              <w:pStyle w:val="TableParagraph"/>
              <w:spacing w:before="60" w:after="60"/>
              <w:ind w:right="115"/>
              <w:jc w:val="both"/>
            </w:pPr>
            <w:r w:rsidRPr="001A6AC1">
              <w:t>Section H</w:t>
            </w:r>
            <w:r>
              <w:t>) (G1</w:t>
            </w:r>
            <w:r w:rsidR="008D220F">
              <w:t xml:space="preserve"> </w:t>
            </w:r>
            <w:r>
              <w:t>To G14 in this checklist) of this section, shall be documented in the appropriate documents by all concerned entities. All amendments shall be submitted to CAA for approval no later than 1st May 2024.</w:t>
            </w:r>
          </w:p>
        </w:tc>
        <w:tc>
          <w:tcPr>
            <w:tcW w:w="833" w:type="dxa"/>
            <w:shd w:val="clear" w:color="auto" w:fill="auto"/>
            <w:vAlign w:val="center"/>
          </w:tcPr>
          <w:p w:rsidR="00AD55F5" w:rsidRPr="003F3BDE" w:rsidRDefault="00AD55F5" w:rsidP="008C6CDF">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D55F5" w:rsidRPr="003F3BDE" w:rsidRDefault="00AD55F5" w:rsidP="008C6CDF">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c>
          <w:tcPr>
            <w:tcW w:w="1120" w:type="dxa"/>
          </w:tcPr>
          <w:p w:rsidR="00AD55F5" w:rsidRPr="003F3BDE" w:rsidRDefault="00AD55F5" w:rsidP="008C6CDF">
            <w:pPr>
              <w:widowControl w:val="0"/>
              <w:autoSpaceDE w:val="0"/>
              <w:autoSpaceDN w:val="0"/>
              <w:jc w:val="center"/>
              <w:rPr>
                <w:rFonts w:eastAsia="Calibri" w:cstheme="minorHAnsi"/>
                <w:b/>
                <w:kern w:val="0"/>
                <w:sz w:val="22"/>
                <w:szCs w:val="22"/>
                <w:lang w:val="en-US"/>
                <w14:ligatures w14:val="none"/>
              </w:rPr>
            </w:pPr>
          </w:p>
        </w:tc>
      </w:tr>
      <w:tr w:rsidR="00853132" w:rsidRPr="003F3BDE" w:rsidTr="00853132">
        <w:trPr>
          <w:trHeight w:val="432"/>
        </w:trPr>
        <w:tc>
          <w:tcPr>
            <w:tcW w:w="10624" w:type="dxa"/>
            <w:gridSpan w:val="7"/>
            <w:shd w:val="clear" w:color="auto" w:fill="DEEAF6" w:themeFill="accent1" w:themeFillTint="33"/>
            <w:vAlign w:val="center"/>
          </w:tcPr>
          <w:p w:rsidR="00853132" w:rsidRPr="003F3BDE" w:rsidRDefault="00853132" w:rsidP="00853132">
            <w:pPr>
              <w:widowControl w:val="0"/>
              <w:autoSpaceDE w:val="0"/>
              <w:autoSpaceDN w:val="0"/>
              <w:rPr>
                <w:rFonts w:eastAsia="Calibri" w:cstheme="minorHAnsi"/>
                <w:b/>
                <w:kern w:val="0"/>
                <w:sz w:val="22"/>
                <w:szCs w:val="22"/>
                <w:lang w:val="en-US"/>
                <w14:ligatures w14:val="none"/>
              </w:rPr>
            </w:pPr>
            <w:r>
              <w:rPr>
                <w:rFonts w:eastAsia="Calibri" w:cstheme="minorHAnsi"/>
                <w:b/>
                <w:kern w:val="0"/>
                <w:sz w:val="22"/>
                <w:szCs w:val="22"/>
                <w:lang w:val="en-US"/>
                <w14:ligatures w14:val="none"/>
              </w:rPr>
              <w:t xml:space="preserve">  H. Non-compliance</w:t>
            </w:r>
          </w:p>
        </w:tc>
      </w:tr>
      <w:tr w:rsidR="00FB2FB7" w:rsidRPr="003F3BDE" w:rsidTr="008C6CDF">
        <w:trPr>
          <w:trHeight w:val="432"/>
        </w:trPr>
        <w:tc>
          <w:tcPr>
            <w:tcW w:w="576" w:type="dxa"/>
            <w:shd w:val="clear" w:color="auto" w:fill="auto"/>
            <w:vAlign w:val="center"/>
          </w:tcPr>
          <w:p w:rsidR="00FB2FB7" w:rsidRPr="00F83285" w:rsidRDefault="00FB2FB7" w:rsidP="00FB2FB7">
            <w:pPr>
              <w:pStyle w:val="ListParagraph"/>
              <w:widowControl w:val="0"/>
              <w:numPr>
                <w:ilvl w:val="0"/>
                <w:numId w:val="111"/>
              </w:numPr>
              <w:autoSpaceDE w:val="0"/>
              <w:autoSpaceDN w:val="0"/>
              <w:ind w:right="172"/>
              <w:rPr>
                <w:rFonts w:eastAsia="Calibri" w:cstheme="minorHAnsi"/>
                <w:b/>
                <w:kern w:val="0"/>
                <w:sz w:val="20"/>
                <w:szCs w:val="20"/>
                <w:lang w:val="en-US"/>
                <w14:ligatures w14:val="none"/>
              </w:rPr>
            </w:pPr>
          </w:p>
        </w:tc>
        <w:tc>
          <w:tcPr>
            <w:tcW w:w="1440" w:type="dxa"/>
            <w:shd w:val="clear" w:color="auto" w:fill="auto"/>
          </w:tcPr>
          <w:p w:rsidR="00FB2FB7" w:rsidRDefault="00FB2FB7" w:rsidP="00FB2FB7">
            <w:pPr>
              <w:pStyle w:val="TableParagraph"/>
              <w:spacing w:before="60" w:after="60"/>
              <w:ind w:right="115"/>
              <w:rPr>
                <w:sz w:val="18"/>
                <w:szCs w:val="18"/>
              </w:rPr>
            </w:pPr>
            <w:r>
              <w:rPr>
                <w:sz w:val="18"/>
                <w:szCs w:val="18"/>
              </w:rPr>
              <w:t>CAD 02-02</w:t>
            </w:r>
          </w:p>
          <w:p w:rsidR="00FB2FB7" w:rsidRPr="00CD111B" w:rsidRDefault="00FB2FB7" w:rsidP="00FB2FB7">
            <w:pPr>
              <w:rPr>
                <w:sz w:val="2"/>
                <w:szCs w:val="2"/>
              </w:rPr>
            </w:pPr>
            <w:r>
              <w:rPr>
                <w:sz w:val="18"/>
                <w:szCs w:val="18"/>
              </w:rPr>
              <w:t>Section I</w:t>
            </w:r>
          </w:p>
        </w:tc>
        <w:tc>
          <w:tcPr>
            <w:tcW w:w="4639" w:type="dxa"/>
            <w:shd w:val="clear" w:color="auto" w:fill="auto"/>
            <w:vAlign w:val="center"/>
          </w:tcPr>
          <w:p w:rsidR="00FB2FB7" w:rsidRDefault="00FB2FB7" w:rsidP="00FB2FB7">
            <w:pPr>
              <w:pStyle w:val="TableParagraph"/>
              <w:spacing w:before="60" w:after="60"/>
              <w:ind w:right="115"/>
              <w:jc w:val="both"/>
            </w:pPr>
            <w:r>
              <w:t xml:space="preserve">In the event of non-compliance with any limit in these Instructions applicable to dose rate or contamination: </w:t>
            </w:r>
          </w:p>
          <w:p w:rsidR="00FB2FB7" w:rsidRDefault="00FB2FB7" w:rsidP="00FB2FB7">
            <w:pPr>
              <w:pStyle w:val="TableParagraph"/>
              <w:spacing w:before="60" w:after="60"/>
              <w:ind w:right="115"/>
              <w:jc w:val="both"/>
            </w:pPr>
            <w:r>
              <w:t>(</w:t>
            </w:r>
            <w:proofErr w:type="spellStart"/>
            <w:r>
              <w:t>i</w:t>
            </w:r>
            <w:proofErr w:type="spellEnd"/>
            <w:r>
              <w:t xml:space="preserve">). The shipper, freight forwarder consignee, operator and any organization involved during transport, who may be affected, as appropriate, must be informed of the non-compliance: </w:t>
            </w:r>
          </w:p>
          <w:p w:rsidR="00FB2FB7" w:rsidRDefault="00FB2FB7" w:rsidP="00FB2FB7">
            <w:pPr>
              <w:pStyle w:val="TableParagraph"/>
              <w:spacing w:before="60" w:after="60"/>
              <w:ind w:right="115"/>
              <w:jc w:val="both"/>
            </w:pPr>
            <w:r>
              <w:t>(a). By the operator if the non-compliance is identified during transport; or</w:t>
            </w:r>
          </w:p>
          <w:p w:rsidR="00FB2FB7" w:rsidRDefault="00FB2FB7" w:rsidP="00FB2FB7">
            <w:pPr>
              <w:pStyle w:val="TableParagraph"/>
              <w:spacing w:before="60" w:after="60"/>
              <w:ind w:right="115"/>
              <w:jc w:val="both"/>
            </w:pPr>
          </w:p>
          <w:p w:rsidR="00FB2FB7" w:rsidRDefault="00FB2FB7" w:rsidP="00FB2FB7">
            <w:pPr>
              <w:pStyle w:val="TableParagraph"/>
              <w:spacing w:before="60" w:after="60"/>
              <w:ind w:right="115"/>
              <w:jc w:val="both"/>
            </w:pPr>
            <w:r>
              <w:t xml:space="preserve"> (b). By the consignee if the non-compliance is identified at receipt;</w:t>
            </w:r>
          </w:p>
          <w:p w:rsidR="00FB2FB7" w:rsidRDefault="00FB2FB7" w:rsidP="00FB2FB7">
            <w:pPr>
              <w:pStyle w:val="TableParagraph"/>
              <w:spacing w:before="60" w:after="60"/>
              <w:ind w:right="115"/>
              <w:jc w:val="both"/>
            </w:pPr>
            <w:r>
              <w:t xml:space="preserve"> (ii). The shipper, operator or consignee, as appropriate, must: </w:t>
            </w:r>
          </w:p>
          <w:p w:rsidR="00FB2FB7" w:rsidRDefault="00FB2FB7" w:rsidP="00FB2FB7">
            <w:pPr>
              <w:pStyle w:val="TableParagraph"/>
              <w:spacing w:before="60" w:after="60"/>
              <w:ind w:right="115"/>
              <w:jc w:val="both"/>
            </w:pPr>
            <w:r>
              <w:t xml:space="preserve">(a). take immediate steps to mitigate the consequences of the non-compliance; </w:t>
            </w:r>
          </w:p>
          <w:p w:rsidR="00FB2FB7" w:rsidRDefault="00FB2FB7" w:rsidP="00FB2FB7">
            <w:pPr>
              <w:pStyle w:val="TableParagraph"/>
              <w:spacing w:before="60" w:after="60"/>
              <w:ind w:right="115"/>
              <w:jc w:val="both"/>
            </w:pPr>
            <w:r>
              <w:t xml:space="preserve">(b). investigate the non-compliance and its causes, circumstances and consequences; </w:t>
            </w:r>
          </w:p>
          <w:p w:rsidR="00FB2FB7" w:rsidRDefault="00FB2FB7" w:rsidP="00FB2FB7">
            <w:pPr>
              <w:pStyle w:val="TableParagraph"/>
              <w:spacing w:before="60" w:after="60"/>
              <w:ind w:right="115"/>
              <w:jc w:val="both"/>
            </w:pPr>
            <w:r>
              <w:t xml:space="preserve">(c). take appropriate action to remedy the causes and circumstances that led to the non-compliance and to prevent a recurrence of causes and circumstances similar to those that led to the non-compliance; </w:t>
            </w:r>
          </w:p>
          <w:p w:rsidR="00FB2FB7" w:rsidRDefault="00FB2FB7" w:rsidP="00FB2FB7">
            <w:pPr>
              <w:pStyle w:val="TableParagraph"/>
              <w:spacing w:before="60" w:after="60"/>
              <w:ind w:right="115"/>
              <w:jc w:val="both"/>
            </w:pPr>
            <w:r>
              <w:t>(d). Communicate to the relevant competent authority(</w:t>
            </w:r>
            <w:proofErr w:type="spellStart"/>
            <w:r>
              <w:t>ies</w:t>
            </w:r>
            <w:proofErr w:type="spellEnd"/>
            <w:r>
              <w:t xml:space="preserve">) the causes of the noncompliance and the corrective or preventative actions taken or to be taken; </w:t>
            </w:r>
          </w:p>
          <w:p w:rsidR="00FB2FB7" w:rsidRDefault="00FB2FB7" w:rsidP="00FB2FB7">
            <w:pPr>
              <w:pStyle w:val="TableParagraph"/>
              <w:spacing w:before="60" w:after="60"/>
              <w:ind w:right="115"/>
              <w:jc w:val="both"/>
            </w:pPr>
            <w:r>
              <w:t>(e). The communication of the non-compliance to the shipper and relevant competent authority(</w:t>
            </w:r>
            <w:proofErr w:type="spellStart"/>
            <w:r>
              <w:t>ies</w:t>
            </w:r>
            <w:proofErr w:type="spellEnd"/>
            <w:r>
              <w:t xml:space="preserve">), respectively, must be made as soon as practicable and it must be immediate </w:t>
            </w:r>
            <w:proofErr w:type="spellStart"/>
            <w:r>
              <w:t>utlising</w:t>
            </w:r>
            <w:proofErr w:type="spellEnd"/>
            <w:r>
              <w:t xml:space="preserve"> the quickest manner, whenever an emergency exposure situation has developed or is developing.</w:t>
            </w:r>
          </w:p>
        </w:tc>
        <w:tc>
          <w:tcPr>
            <w:tcW w:w="833" w:type="dxa"/>
            <w:shd w:val="clear" w:color="auto" w:fill="auto"/>
            <w:vAlign w:val="center"/>
          </w:tcPr>
          <w:p w:rsidR="00FB2FB7" w:rsidRPr="003F3BDE" w:rsidRDefault="00FB2FB7" w:rsidP="00FB2FB7">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FB2FB7" w:rsidRPr="003F3BDE" w:rsidRDefault="00FB2FB7" w:rsidP="00FB2FB7">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FB2FB7" w:rsidRPr="003F3BDE" w:rsidRDefault="00FB2FB7" w:rsidP="00FB2FB7">
            <w:pPr>
              <w:widowControl w:val="0"/>
              <w:autoSpaceDE w:val="0"/>
              <w:autoSpaceDN w:val="0"/>
              <w:jc w:val="center"/>
              <w:rPr>
                <w:rFonts w:eastAsia="Calibri" w:cstheme="minorHAnsi"/>
                <w:b/>
                <w:kern w:val="0"/>
                <w:sz w:val="22"/>
                <w:szCs w:val="22"/>
                <w:lang w:val="en-US"/>
                <w14:ligatures w14:val="none"/>
              </w:rPr>
            </w:pPr>
          </w:p>
        </w:tc>
        <w:tc>
          <w:tcPr>
            <w:tcW w:w="1120" w:type="dxa"/>
          </w:tcPr>
          <w:p w:rsidR="00FB2FB7" w:rsidRPr="003F3BDE" w:rsidRDefault="00FB2FB7" w:rsidP="00FB2FB7">
            <w:pPr>
              <w:widowControl w:val="0"/>
              <w:autoSpaceDE w:val="0"/>
              <w:autoSpaceDN w:val="0"/>
              <w:jc w:val="center"/>
              <w:rPr>
                <w:rFonts w:eastAsia="Calibri" w:cstheme="minorHAnsi"/>
                <w:b/>
                <w:kern w:val="0"/>
                <w:sz w:val="22"/>
                <w:szCs w:val="22"/>
                <w:lang w:val="en-US"/>
                <w14:ligatures w14:val="none"/>
              </w:rPr>
            </w:pPr>
          </w:p>
        </w:tc>
      </w:tr>
      <w:tr w:rsidR="00070590" w:rsidRPr="003F3BDE" w:rsidTr="00070590">
        <w:trPr>
          <w:trHeight w:val="432"/>
        </w:trPr>
        <w:tc>
          <w:tcPr>
            <w:tcW w:w="10624" w:type="dxa"/>
            <w:gridSpan w:val="7"/>
            <w:shd w:val="clear" w:color="auto" w:fill="DEEAF6" w:themeFill="accent1" w:themeFillTint="33"/>
            <w:vAlign w:val="center"/>
          </w:tcPr>
          <w:p w:rsidR="00070590" w:rsidRPr="003F3BDE" w:rsidRDefault="00070590" w:rsidP="00070590">
            <w:pPr>
              <w:widowControl w:val="0"/>
              <w:autoSpaceDE w:val="0"/>
              <w:autoSpaceDN w:val="0"/>
              <w:rPr>
                <w:rFonts w:eastAsia="Calibri" w:cstheme="minorHAnsi"/>
                <w:b/>
                <w:kern w:val="0"/>
                <w:sz w:val="22"/>
                <w:szCs w:val="22"/>
                <w:lang w:val="en-US"/>
                <w14:ligatures w14:val="none"/>
              </w:rPr>
            </w:pPr>
            <w:r>
              <w:rPr>
                <w:rFonts w:eastAsia="Calibri" w:cstheme="minorHAnsi"/>
                <w:b/>
                <w:kern w:val="0"/>
                <w:sz w:val="22"/>
                <w:szCs w:val="22"/>
                <w:lang w:val="en-US"/>
                <w14:ligatures w14:val="none"/>
              </w:rPr>
              <w:t xml:space="preserve">  I. Monitoring Program</w:t>
            </w:r>
          </w:p>
        </w:tc>
      </w:tr>
      <w:tr w:rsidR="00FB2FB7" w:rsidRPr="003F3BDE" w:rsidTr="008C6CDF">
        <w:trPr>
          <w:trHeight w:val="432"/>
        </w:trPr>
        <w:tc>
          <w:tcPr>
            <w:tcW w:w="576" w:type="dxa"/>
            <w:shd w:val="clear" w:color="auto" w:fill="auto"/>
            <w:vAlign w:val="center"/>
          </w:tcPr>
          <w:p w:rsidR="00FB2FB7" w:rsidRPr="00F83285" w:rsidRDefault="00FB2FB7" w:rsidP="00070590">
            <w:pPr>
              <w:pStyle w:val="ListParagraph"/>
              <w:widowControl w:val="0"/>
              <w:numPr>
                <w:ilvl w:val="0"/>
                <w:numId w:val="112"/>
              </w:numPr>
              <w:autoSpaceDE w:val="0"/>
              <w:autoSpaceDN w:val="0"/>
              <w:ind w:right="172"/>
              <w:rPr>
                <w:rFonts w:eastAsia="Calibri" w:cstheme="minorHAnsi"/>
                <w:b/>
                <w:kern w:val="0"/>
                <w:sz w:val="20"/>
                <w:szCs w:val="20"/>
                <w:lang w:val="en-US"/>
                <w14:ligatures w14:val="none"/>
              </w:rPr>
            </w:pPr>
          </w:p>
        </w:tc>
        <w:tc>
          <w:tcPr>
            <w:tcW w:w="1440" w:type="dxa"/>
            <w:shd w:val="clear" w:color="auto" w:fill="auto"/>
          </w:tcPr>
          <w:p w:rsidR="00070590" w:rsidRDefault="00070590" w:rsidP="00070590">
            <w:pPr>
              <w:pStyle w:val="TableParagraph"/>
              <w:spacing w:before="60" w:after="60"/>
              <w:ind w:right="115"/>
              <w:rPr>
                <w:sz w:val="18"/>
                <w:szCs w:val="18"/>
              </w:rPr>
            </w:pPr>
            <w:r>
              <w:rPr>
                <w:sz w:val="18"/>
                <w:szCs w:val="18"/>
              </w:rPr>
              <w:t xml:space="preserve"> CAD 02-02</w:t>
            </w:r>
          </w:p>
          <w:p w:rsidR="00FB2FB7" w:rsidRPr="00CD111B" w:rsidRDefault="00070590" w:rsidP="00070590">
            <w:pPr>
              <w:rPr>
                <w:sz w:val="2"/>
                <w:szCs w:val="2"/>
              </w:rPr>
            </w:pPr>
            <w:r>
              <w:rPr>
                <w:sz w:val="18"/>
                <w:szCs w:val="18"/>
              </w:rPr>
              <w:t xml:space="preserve">  Section</w:t>
            </w:r>
            <w:r w:rsidR="00D24EE3">
              <w:rPr>
                <w:sz w:val="18"/>
                <w:szCs w:val="18"/>
              </w:rPr>
              <w:t xml:space="preserve"> J</w:t>
            </w:r>
          </w:p>
        </w:tc>
        <w:tc>
          <w:tcPr>
            <w:tcW w:w="4639" w:type="dxa"/>
            <w:shd w:val="clear" w:color="auto" w:fill="auto"/>
            <w:vAlign w:val="center"/>
          </w:tcPr>
          <w:p w:rsidR="00070590" w:rsidRDefault="00070590" w:rsidP="00FB2FB7">
            <w:pPr>
              <w:pStyle w:val="TableParagraph"/>
              <w:spacing w:before="60" w:after="60"/>
              <w:ind w:right="115"/>
              <w:jc w:val="both"/>
            </w:pPr>
            <w:r>
              <w:t xml:space="preserve">Upon completion of the Dangerous Goods occurrence investigation, oversight activities the concerned entity; </w:t>
            </w:r>
          </w:p>
          <w:p w:rsidR="00070590" w:rsidRDefault="00070590" w:rsidP="00FB2FB7">
            <w:pPr>
              <w:pStyle w:val="TableParagraph"/>
              <w:spacing w:before="60" w:after="60"/>
              <w:ind w:right="115"/>
              <w:jc w:val="both"/>
            </w:pPr>
            <w:r>
              <w:t>(</w:t>
            </w:r>
            <w:proofErr w:type="spellStart"/>
            <w:r>
              <w:t>i</w:t>
            </w:r>
            <w:proofErr w:type="spellEnd"/>
            <w:r>
              <w:t xml:space="preserve">). shall receive Official Notification of Non-Compliance with CAA Civil Aviation Regulations, addressed to the Dangerous Goods Post holder of the concerned Entity. </w:t>
            </w:r>
          </w:p>
          <w:p w:rsidR="00FB2FB7" w:rsidRDefault="00070590" w:rsidP="00FB2FB7">
            <w:pPr>
              <w:pStyle w:val="TableParagraph"/>
              <w:spacing w:before="60" w:after="60"/>
              <w:ind w:right="115"/>
              <w:jc w:val="both"/>
            </w:pPr>
            <w:r>
              <w:t>(ii). shall acknowledge receipt of the CAA Official Notification of Non-Compliance with CAA Civil Aviation Regulations by means of official letter endorsed by the Dangerous Goods Post holder or in case of absence his deputy.</w:t>
            </w:r>
          </w:p>
        </w:tc>
        <w:tc>
          <w:tcPr>
            <w:tcW w:w="833" w:type="dxa"/>
            <w:shd w:val="clear" w:color="auto" w:fill="auto"/>
            <w:vAlign w:val="center"/>
          </w:tcPr>
          <w:p w:rsidR="00FB2FB7" w:rsidRPr="003F3BDE" w:rsidRDefault="00FB2FB7" w:rsidP="00FB2FB7">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FB2FB7" w:rsidRPr="003F3BDE" w:rsidRDefault="00FB2FB7" w:rsidP="00FB2FB7">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FB2FB7" w:rsidRPr="003F3BDE" w:rsidRDefault="00FB2FB7" w:rsidP="00FB2FB7">
            <w:pPr>
              <w:widowControl w:val="0"/>
              <w:autoSpaceDE w:val="0"/>
              <w:autoSpaceDN w:val="0"/>
              <w:jc w:val="center"/>
              <w:rPr>
                <w:rFonts w:eastAsia="Calibri" w:cstheme="minorHAnsi"/>
                <w:b/>
                <w:kern w:val="0"/>
                <w:sz w:val="22"/>
                <w:szCs w:val="22"/>
                <w:lang w:val="en-US"/>
                <w14:ligatures w14:val="none"/>
              </w:rPr>
            </w:pPr>
          </w:p>
        </w:tc>
        <w:tc>
          <w:tcPr>
            <w:tcW w:w="1120" w:type="dxa"/>
          </w:tcPr>
          <w:p w:rsidR="00FB2FB7" w:rsidRPr="003F3BDE" w:rsidRDefault="00FB2FB7" w:rsidP="00FB2FB7">
            <w:pPr>
              <w:widowControl w:val="0"/>
              <w:autoSpaceDE w:val="0"/>
              <w:autoSpaceDN w:val="0"/>
              <w:jc w:val="center"/>
              <w:rPr>
                <w:rFonts w:eastAsia="Calibri" w:cstheme="minorHAnsi"/>
                <w:b/>
                <w:kern w:val="0"/>
                <w:sz w:val="22"/>
                <w:szCs w:val="22"/>
                <w:lang w:val="en-US"/>
                <w14:ligatures w14:val="none"/>
              </w:rPr>
            </w:pPr>
          </w:p>
        </w:tc>
      </w:tr>
      <w:tr w:rsidR="00070590" w:rsidRPr="003F3BDE" w:rsidTr="00070590">
        <w:trPr>
          <w:trHeight w:val="432"/>
        </w:trPr>
        <w:tc>
          <w:tcPr>
            <w:tcW w:w="10624" w:type="dxa"/>
            <w:gridSpan w:val="7"/>
            <w:shd w:val="clear" w:color="auto" w:fill="DEEAF6" w:themeFill="accent1" w:themeFillTint="33"/>
            <w:vAlign w:val="center"/>
          </w:tcPr>
          <w:p w:rsidR="00070590" w:rsidRPr="003F3BDE" w:rsidRDefault="00070590" w:rsidP="00070590">
            <w:pPr>
              <w:widowControl w:val="0"/>
              <w:autoSpaceDE w:val="0"/>
              <w:autoSpaceDN w:val="0"/>
              <w:rPr>
                <w:rFonts w:eastAsia="Calibri" w:cstheme="minorHAnsi"/>
                <w:b/>
                <w:kern w:val="0"/>
                <w:sz w:val="22"/>
                <w:szCs w:val="22"/>
                <w:lang w:val="en-US"/>
                <w14:ligatures w14:val="none"/>
              </w:rPr>
            </w:pPr>
            <w:r>
              <w:rPr>
                <w:rFonts w:eastAsia="Calibri" w:cstheme="minorHAnsi"/>
                <w:b/>
                <w:kern w:val="0"/>
                <w:sz w:val="22"/>
                <w:szCs w:val="22"/>
                <w:lang w:val="en-US"/>
                <w14:ligatures w14:val="none"/>
              </w:rPr>
              <w:t xml:space="preserve">  J. </w:t>
            </w:r>
            <w:r>
              <w:t xml:space="preserve"> Corrective and Preventive Action (CAPA)</w:t>
            </w:r>
          </w:p>
        </w:tc>
      </w:tr>
      <w:tr w:rsidR="00D24EE3" w:rsidRPr="003F3BDE" w:rsidTr="008C6CDF">
        <w:trPr>
          <w:trHeight w:val="432"/>
        </w:trPr>
        <w:tc>
          <w:tcPr>
            <w:tcW w:w="576" w:type="dxa"/>
            <w:shd w:val="clear" w:color="auto" w:fill="auto"/>
            <w:vAlign w:val="center"/>
          </w:tcPr>
          <w:p w:rsidR="00D24EE3" w:rsidRPr="00F83285" w:rsidRDefault="00D24EE3" w:rsidP="00070590">
            <w:pPr>
              <w:pStyle w:val="ListParagraph"/>
              <w:widowControl w:val="0"/>
              <w:numPr>
                <w:ilvl w:val="0"/>
                <w:numId w:val="113"/>
              </w:numPr>
              <w:autoSpaceDE w:val="0"/>
              <w:autoSpaceDN w:val="0"/>
              <w:ind w:right="172"/>
              <w:jc w:val="center"/>
              <w:rPr>
                <w:rFonts w:eastAsia="Calibri" w:cstheme="minorHAnsi"/>
                <w:b/>
                <w:kern w:val="0"/>
                <w:sz w:val="20"/>
                <w:szCs w:val="20"/>
                <w:lang w:val="en-US"/>
                <w14:ligatures w14:val="none"/>
              </w:rPr>
            </w:pPr>
          </w:p>
        </w:tc>
        <w:tc>
          <w:tcPr>
            <w:tcW w:w="1440" w:type="dxa"/>
            <w:vMerge w:val="restart"/>
            <w:shd w:val="clear" w:color="auto" w:fill="auto"/>
          </w:tcPr>
          <w:p w:rsidR="00D24EE3" w:rsidRDefault="00D24EE3" w:rsidP="00D24EE3">
            <w:pPr>
              <w:pStyle w:val="TableParagraph"/>
              <w:spacing w:before="60" w:after="60"/>
              <w:ind w:right="115"/>
              <w:rPr>
                <w:sz w:val="18"/>
                <w:szCs w:val="18"/>
              </w:rPr>
            </w:pPr>
            <w:r>
              <w:rPr>
                <w:sz w:val="18"/>
                <w:szCs w:val="18"/>
              </w:rPr>
              <w:t>CAD 02-02</w:t>
            </w:r>
          </w:p>
          <w:p w:rsidR="00D24EE3" w:rsidRPr="00CD111B" w:rsidRDefault="00D24EE3" w:rsidP="00D24EE3">
            <w:pPr>
              <w:rPr>
                <w:sz w:val="2"/>
                <w:szCs w:val="2"/>
              </w:rPr>
            </w:pPr>
            <w:r>
              <w:rPr>
                <w:sz w:val="18"/>
                <w:szCs w:val="18"/>
              </w:rPr>
              <w:t xml:space="preserve">  Section K</w:t>
            </w:r>
          </w:p>
        </w:tc>
        <w:tc>
          <w:tcPr>
            <w:tcW w:w="4639" w:type="dxa"/>
            <w:shd w:val="clear" w:color="auto" w:fill="auto"/>
            <w:vAlign w:val="center"/>
          </w:tcPr>
          <w:p w:rsidR="00D24EE3" w:rsidRDefault="00D24EE3" w:rsidP="00FB2FB7">
            <w:pPr>
              <w:pStyle w:val="TableParagraph"/>
              <w:spacing w:before="60" w:after="60"/>
              <w:ind w:right="115"/>
              <w:jc w:val="both"/>
            </w:pPr>
            <w:r>
              <w:t>Entities subject to cargo oversight activities shall without delay submit their CAPA to CAA considering the following;</w:t>
            </w:r>
          </w:p>
        </w:tc>
        <w:tc>
          <w:tcPr>
            <w:tcW w:w="833" w:type="dxa"/>
            <w:shd w:val="clear" w:color="auto" w:fill="auto"/>
            <w:vAlign w:val="center"/>
          </w:tcPr>
          <w:p w:rsidR="00D24EE3" w:rsidRPr="003F3BDE" w:rsidRDefault="00D24EE3" w:rsidP="00FB2FB7">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D24EE3" w:rsidRPr="003F3BDE" w:rsidRDefault="00D24EE3" w:rsidP="00FB2FB7">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D24EE3" w:rsidRPr="003F3BDE" w:rsidRDefault="00D24EE3" w:rsidP="00FB2FB7">
            <w:pPr>
              <w:widowControl w:val="0"/>
              <w:autoSpaceDE w:val="0"/>
              <w:autoSpaceDN w:val="0"/>
              <w:jc w:val="center"/>
              <w:rPr>
                <w:rFonts w:eastAsia="Calibri" w:cstheme="minorHAnsi"/>
                <w:b/>
                <w:kern w:val="0"/>
                <w:sz w:val="22"/>
                <w:szCs w:val="22"/>
                <w:lang w:val="en-US"/>
                <w14:ligatures w14:val="none"/>
              </w:rPr>
            </w:pPr>
          </w:p>
        </w:tc>
        <w:tc>
          <w:tcPr>
            <w:tcW w:w="1120" w:type="dxa"/>
          </w:tcPr>
          <w:p w:rsidR="00D24EE3" w:rsidRPr="003F3BDE" w:rsidRDefault="00D24EE3" w:rsidP="00FB2FB7">
            <w:pPr>
              <w:widowControl w:val="0"/>
              <w:autoSpaceDE w:val="0"/>
              <w:autoSpaceDN w:val="0"/>
              <w:jc w:val="center"/>
              <w:rPr>
                <w:rFonts w:eastAsia="Calibri" w:cstheme="minorHAnsi"/>
                <w:b/>
                <w:kern w:val="0"/>
                <w:sz w:val="22"/>
                <w:szCs w:val="22"/>
                <w:lang w:val="en-US"/>
                <w14:ligatures w14:val="none"/>
              </w:rPr>
            </w:pPr>
          </w:p>
        </w:tc>
      </w:tr>
      <w:tr w:rsidR="00D24EE3" w:rsidRPr="003F3BDE" w:rsidTr="008C6CDF">
        <w:trPr>
          <w:trHeight w:val="432"/>
        </w:trPr>
        <w:tc>
          <w:tcPr>
            <w:tcW w:w="576" w:type="dxa"/>
            <w:shd w:val="clear" w:color="auto" w:fill="auto"/>
            <w:vAlign w:val="center"/>
          </w:tcPr>
          <w:p w:rsidR="00D24EE3" w:rsidRPr="00F83285" w:rsidRDefault="00D24EE3" w:rsidP="00070590">
            <w:pPr>
              <w:pStyle w:val="ListParagraph"/>
              <w:widowControl w:val="0"/>
              <w:numPr>
                <w:ilvl w:val="0"/>
                <w:numId w:val="113"/>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D24EE3" w:rsidRPr="00CD111B" w:rsidRDefault="00D24EE3" w:rsidP="00FB2FB7">
            <w:pPr>
              <w:rPr>
                <w:sz w:val="2"/>
                <w:szCs w:val="2"/>
              </w:rPr>
            </w:pPr>
          </w:p>
        </w:tc>
        <w:tc>
          <w:tcPr>
            <w:tcW w:w="4639" w:type="dxa"/>
            <w:shd w:val="clear" w:color="auto" w:fill="auto"/>
            <w:vAlign w:val="center"/>
          </w:tcPr>
          <w:p w:rsidR="00D24EE3" w:rsidRDefault="00D24EE3" w:rsidP="00FB2FB7">
            <w:pPr>
              <w:pStyle w:val="TableParagraph"/>
              <w:spacing w:before="60" w:after="60"/>
              <w:ind w:right="115"/>
              <w:jc w:val="both"/>
            </w:pPr>
            <w:r>
              <w:t>(</w:t>
            </w:r>
            <w:proofErr w:type="spellStart"/>
            <w:r>
              <w:t>i</w:t>
            </w:r>
            <w:proofErr w:type="spellEnd"/>
            <w:r>
              <w:t>). using the entity’s letterhead.</w:t>
            </w:r>
          </w:p>
        </w:tc>
        <w:tc>
          <w:tcPr>
            <w:tcW w:w="833" w:type="dxa"/>
            <w:shd w:val="clear" w:color="auto" w:fill="auto"/>
            <w:vAlign w:val="center"/>
          </w:tcPr>
          <w:p w:rsidR="00D24EE3" w:rsidRPr="003F3BDE" w:rsidRDefault="00D24EE3" w:rsidP="00FB2FB7">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D24EE3" w:rsidRPr="003F3BDE" w:rsidRDefault="00D24EE3" w:rsidP="00FB2FB7">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D24EE3" w:rsidRPr="003F3BDE" w:rsidRDefault="00D24EE3" w:rsidP="00FB2FB7">
            <w:pPr>
              <w:widowControl w:val="0"/>
              <w:autoSpaceDE w:val="0"/>
              <w:autoSpaceDN w:val="0"/>
              <w:jc w:val="center"/>
              <w:rPr>
                <w:rFonts w:eastAsia="Calibri" w:cstheme="minorHAnsi"/>
                <w:b/>
                <w:kern w:val="0"/>
                <w:sz w:val="22"/>
                <w:szCs w:val="22"/>
                <w:lang w:val="en-US"/>
                <w14:ligatures w14:val="none"/>
              </w:rPr>
            </w:pPr>
          </w:p>
        </w:tc>
        <w:tc>
          <w:tcPr>
            <w:tcW w:w="1120" w:type="dxa"/>
          </w:tcPr>
          <w:p w:rsidR="00D24EE3" w:rsidRPr="003F3BDE" w:rsidRDefault="00D24EE3" w:rsidP="00FB2FB7">
            <w:pPr>
              <w:widowControl w:val="0"/>
              <w:autoSpaceDE w:val="0"/>
              <w:autoSpaceDN w:val="0"/>
              <w:jc w:val="center"/>
              <w:rPr>
                <w:rFonts w:eastAsia="Calibri" w:cstheme="minorHAnsi"/>
                <w:b/>
                <w:kern w:val="0"/>
                <w:sz w:val="22"/>
                <w:szCs w:val="22"/>
                <w:lang w:val="en-US"/>
                <w14:ligatures w14:val="none"/>
              </w:rPr>
            </w:pPr>
          </w:p>
        </w:tc>
      </w:tr>
      <w:tr w:rsidR="00D24EE3" w:rsidRPr="003F3BDE" w:rsidTr="008C6CDF">
        <w:trPr>
          <w:trHeight w:val="432"/>
        </w:trPr>
        <w:tc>
          <w:tcPr>
            <w:tcW w:w="576" w:type="dxa"/>
            <w:shd w:val="clear" w:color="auto" w:fill="auto"/>
            <w:vAlign w:val="center"/>
          </w:tcPr>
          <w:p w:rsidR="00D24EE3" w:rsidRPr="00F83285" w:rsidRDefault="00D24EE3" w:rsidP="00070590">
            <w:pPr>
              <w:pStyle w:val="ListParagraph"/>
              <w:widowControl w:val="0"/>
              <w:numPr>
                <w:ilvl w:val="0"/>
                <w:numId w:val="113"/>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D24EE3" w:rsidRPr="00CD111B" w:rsidRDefault="00D24EE3" w:rsidP="00FB2FB7">
            <w:pPr>
              <w:rPr>
                <w:sz w:val="2"/>
                <w:szCs w:val="2"/>
              </w:rPr>
            </w:pPr>
          </w:p>
        </w:tc>
        <w:tc>
          <w:tcPr>
            <w:tcW w:w="4639" w:type="dxa"/>
            <w:shd w:val="clear" w:color="auto" w:fill="auto"/>
            <w:vAlign w:val="center"/>
          </w:tcPr>
          <w:p w:rsidR="00D24EE3" w:rsidRDefault="00D24EE3" w:rsidP="00FB2FB7">
            <w:pPr>
              <w:pStyle w:val="TableParagraph"/>
              <w:spacing w:before="60" w:after="60"/>
              <w:ind w:right="115"/>
              <w:jc w:val="both"/>
            </w:pPr>
            <w:r>
              <w:t>(ii). the CAPA details the sequence of events, addresses the seriousness of the occurrence, implementable and includes a method or a process for implementation and compliance monitoring within a specified timeframe. The below mentioned parameters must be adhered to:</w:t>
            </w:r>
          </w:p>
          <w:p w:rsidR="00D24EE3" w:rsidRDefault="00D24EE3" w:rsidP="00FB2FB7">
            <w:pPr>
              <w:pStyle w:val="TableParagraph"/>
              <w:spacing w:before="60" w:after="60"/>
              <w:ind w:right="115"/>
              <w:jc w:val="both"/>
            </w:pPr>
            <w:r>
              <w:t xml:space="preserve">For each action mentioned in the CAP the following steps must be reflected: </w:t>
            </w:r>
          </w:p>
          <w:p w:rsidR="00D24EE3" w:rsidRDefault="00D24EE3" w:rsidP="00FB2FB7">
            <w:pPr>
              <w:pStyle w:val="TableParagraph"/>
              <w:spacing w:before="60" w:after="60"/>
              <w:ind w:right="115"/>
              <w:jc w:val="both"/>
            </w:pPr>
            <w:r>
              <w:t>(a). Review, Amend, Approve and Implement the updated procedure or manual.</w:t>
            </w:r>
          </w:p>
          <w:p w:rsidR="00D24EE3" w:rsidRDefault="00D24EE3" w:rsidP="00FB2FB7">
            <w:pPr>
              <w:pStyle w:val="TableParagraph"/>
              <w:spacing w:before="60" w:after="60"/>
              <w:ind w:right="115"/>
              <w:jc w:val="both"/>
            </w:pPr>
            <w:r>
              <w:t xml:space="preserve">(b). The designated entity/department to undertake the action </w:t>
            </w:r>
          </w:p>
          <w:p w:rsidR="00D24EE3" w:rsidRDefault="00D24EE3" w:rsidP="00FB2FB7">
            <w:pPr>
              <w:pStyle w:val="TableParagraph"/>
              <w:spacing w:before="60" w:after="60"/>
              <w:ind w:right="115"/>
              <w:jc w:val="both"/>
            </w:pPr>
            <w:r>
              <w:t xml:space="preserve">(c). Realistic deadline for implementation as per the table </w:t>
            </w:r>
          </w:p>
          <w:p w:rsidR="00D24EE3" w:rsidRDefault="00D24EE3" w:rsidP="00FB2FB7">
            <w:pPr>
              <w:pStyle w:val="TableParagraph"/>
              <w:spacing w:before="60" w:after="60"/>
              <w:ind w:right="115"/>
              <w:jc w:val="both"/>
            </w:pPr>
            <w:r>
              <w:t xml:space="preserve">(d). Progress of achievement to be monitored </w:t>
            </w:r>
          </w:p>
          <w:p w:rsidR="00D24EE3" w:rsidRDefault="00D24EE3" w:rsidP="00FB2FB7">
            <w:pPr>
              <w:pStyle w:val="TableParagraph"/>
              <w:spacing w:before="60" w:after="60"/>
              <w:ind w:right="115"/>
              <w:jc w:val="both"/>
            </w:pPr>
            <w:r>
              <w:t xml:space="preserve">(e). Evidence to be provided </w:t>
            </w:r>
          </w:p>
          <w:p w:rsidR="00D24EE3" w:rsidRDefault="00D24EE3" w:rsidP="00FB2FB7">
            <w:pPr>
              <w:pStyle w:val="TableParagraph"/>
              <w:spacing w:before="60" w:after="60"/>
              <w:ind w:right="115"/>
              <w:jc w:val="both"/>
            </w:pPr>
            <w:r>
              <w:t xml:space="preserve">(f). Status of the action </w:t>
            </w:r>
          </w:p>
          <w:p w:rsidR="00D24EE3" w:rsidRDefault="00D24EE3" w:rsidP="00FB2FB7">
            <w:pPr>
              <w:pStyle w:val="TableParagraph"/>
              <w:spacing w:before="60" w:after="60"/>
              <w:ind w:right="115"/>
              <w:jc w:val="both"/>
            </w:pPr>
            <w:r>
              <w:t>(g). Monitoring the efficiency of the action taken by means of spot check, supervision, oversight, audit, inspection...etc.</w:t>
            </w:r>
          </w:p>
        </w:tc>
        <w:tc>
          <w:tcPr>
            <w:tcW w:w="833" w:type="dxa"/>
            <w:shd w:val="clear" w:color="auto" w:fill="auto"/>
            <w:vAlign w:val="center"/>
          </w:tcPr>
          <w:p w:rsidR="00D24EE3" w:rsidRPr="003F3BDE" w:rsidRDefault="00D24EE3" w:rsidP="00FB2FB7">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D24EE3" w:rsidRPr="003F3BDE" w:rsidRDefault="00D24EE3" w:rsidP="00FB2FB7">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D24EE3" w:rsidRPr="003F3BDE" w:rsidRDefault="00D24EE3" w:rsidP="00FB2FB7">
            <w:pPr>
              <w:widowControl w:val="0"/>
              <w:autoSpaceDE w:val="0"/>
              <w:autoSpaceDN w:val="0"/>
              <w:jc w:val="center"/>
              <w:rPr>
                <w:rFonts w:eastAsia="Calibri" w:cstheme="minorHAnsi"/>
                <w:b/>
                <w:kern w:val="0"/>
                <w:sz w:val="22"/>
                <w:szCs w:val="22"/>
                <w:lang w:val="en-US"/>
                <w14:ligatures w14:val="none"/>
              </w:rPr>
            </w:pPr>
          </w:p>
        </w:tc>
        <w:tc>
          <w:tcPr>
            <w:tcW w:w="1120" w:type="dxa"/>
          </w:tcPr>
          <w:p w:rsidR="00D24EE3" w:rsidRPr="003F3BDE" w:rsidRDefault="00D24EE3" w:rsidP="00FB2FB7">
            <w:pPr>
              <w:widowControl w:val="0"/>
              <w:autoSpaceDE w:val="0"/>
              <w:autoSpaceDN w:val="0"/>
              <w:jc w:val="center"/>
              <w:rPr>
                <w:rFonts w:eastAsia="Calibri" w:cstheme="minorHAnsi"/>
                <w:b/>
                <w:kern w:val="0"/>
                <w:sz w:val="22"/>
                <w:szCs w:val="22"/>
                <w:lang w:val="en-US"/>
                <w14:ligatures w14:val="none"/>
              </w:rPr>
            </w:pPr>
          </w:p>
        </w:tc>
      </w:tr>
      <w:tr w:rsidR="00D24EE3" w:rsidRPr="003F3BDE" w:rsidTr="008C6CDF">
        <w:trPr>
          <w:trHeight w:val="432"/>
        </w:trPr>
        <w:tc>
          <w:tcPr>
            <w:tcW w:w="576" w:type="dxa"/>
            <w:shd w:val="clear" w:color="auto" w:fill="auto"/>
            <w:vAlign w:val="center"/>
          </w:tcPr>
          <w:p w:rsidR="00D24EE3" w:rsidRPr="00F83285" w:rsidRDefault="00D24EE3" w:rsidP="00070590">
            <w:pPr>
              <w:pStyle w:val="ListParagraph"/>
              <w:widowControl w:val="0"/>
              <w:numPr>
                <w:ilvl w:val="0"/>
                <w:numId w:val="113"/>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D24EE3" w:rsidRPr="00CD111B" w:rsidRDefault="00D24EE3" w:rsidP="00FB2FB7">
            <w:pPr>
              <w:rPr>
                <w:sz w:val="2"/>
                <w:szCs w:val="2"/>
              </w:rPr>
            </w:pPr>
          </w:p>
        </w:tc>
        <w:tc>
          <w:tcPr>
            <w:tcW w:w="4639" w:type="dxa"/>
            <w:shd w:val="clear" w:color="auto" w:fill="auto"/>
            <w:vAlign w:val="center"/>
          </w:tcPr>
          <w:p w:rsidR="00D24EE3" w:rsidRDefault="00D24EE3" w:rsidP="00FB2FB7">
            <w:pPr>
              <w:pStyle w:val="TableParagraph"/>
              <w:spacing w:before="60" w:after="60"/>
              <w:ind w:right="115"/>
              <w:jc w:val="both"/>
            </w:pPr>
            <w:r>
              <w:t xml:space="preserve">(iii). the CAPA is submitted as per the CAA system provided to the entities subject to audit. </w:t>
            </w:r>
          </w:p>
        </w:tc>
        <w:tc>
          <w:tcPr>
            <w:tcW w:w="833" w:type="dxa"/>
            <w:shd w:val="clear" w:color="auto" w:fill="auto"/>
            <w:vAlign w:val="center"/>
          </w:tcPr>
          <w:p w:rsidR="00D24EE3" w:rsidRPr="003F3BDE" w:rsidRDefault="00D24EE3" w:rsidP="00FB2FB7">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D24EE3" w:rsidRPr="003F3BDE" w:rsidRDefault="00D24EE3" w:rsidP="00FB2FB7">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D24EE3" w:rsidRPr="003F3BDE" w:rsidRDefault="00D24EE3" w:rsidP="00FB2FB7">
            <w:pPr>
              <w:widowControl w:val="0"/>
              <w:autoSpaceDE w:val="0"/>
              <w:autoSpaceDN w:val="0"/>
              <w:jc w:val="center"/>
              <w:rPr>
                <w:rFonts w:eastAsia="Calibri" w:cstheme="minorHAnsi"/>
                <w:b/>
                <w:kern w:val="0"/>
                <w:sz w:val="22"/>
                <w:szCs w:val="22"/>
                <w:lang w:val="en-US"/>
                <w14:ligatures w14:val="none"/>
              </w:rPr>
            </w:pPr>
          </w:p>
        </w:tc>
        <w:tc>
          <w:tcPr>
            <w:tcW w:w="1120" w:type="dxa"/>
          </w:tcPr>
          <w:p w:rsidR="00D24EE3" w:rsidRPr="003F3BDE" w:rsidRDefault="00D24EE3" w:rsidP="00FB2FB7">
            <w:pPr>
              <w:widowControl w:val="0"/>
              <w:autoSpaceDE w:val="0"/>
              <w:autoSpaceDN w:val="0"/>
              <w:jc w:val="center"/>
              <w:rPr>
                <w:rFonts w:eastAsia="Calibri" w:cstheme="minorHAnsi"/>
                <w:b/>
                <w:kern w:val="0"/>
                <w:sz w:val="22"/>
                <w:szCs w:val="22"/>
                <w:lang w:val="en-US"/>
                <w14:ligatures w14:val="none"/>
              </w:rPr>
            </w:pPr>
          </w:p>
        </w:tc>
      </w:tr>
      <w:tr w:rsidR="00D24EE3" w:rsidRPr="003F3BDE" w:rsidTr="008C6CDF">
        <w:trPr>
          <w:trHeight w:val="432"/>
        </w:trPr>
        <w:tc>
          <w:tcPr>
            <w:tcW w:w="576" w:type="dxa"/>
            <w:shd w:val="clear" w:color="auto" w:fill="auto"/>
            <w:vAlign w:val="center"/>
          </w:tcPr>
          <w:p w:rsidR="00D24EE3" w:rsidRPr="00F83285" w:rsidRDefault="00D24EE3" w:rsidP="00070590">
            <w:pPr>
              <w:pStyle w:val="ListParagraph"/>
              <w:widowControl w:val="0"/>
              <w:numPr>
                <w:ilvl w:val="0"/>
                <w:numId w:val="113"/>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D24EE3" w:rsidRPr="00CD111B" w:rsidRDefault="00D24EE3" w:rsidP="00FB2FB7">
            <w:pPr>
              <w:rPr>
                <w:sz w:val="2"/>
                <w:szCs w:val="2"/>
              </w:rPr>
            </w:pPr>
          </w:p>
        </w:tc>
        <w:tc>
          <w:tcPr>
            <w:tcW w:w="4639" w:type="dxa"/>
            <w:shd w:val="clear" w:color="auto" w:fill="auto"/>
            <w:vAlign w:val="center"/>
          </w:tcPr>
          <w:p w:rsidR="00D24EE3" w:rsidRDefault="00D24EE3" w:rsidP="00FB2FB7">
            <w:pPr>
              <w:pStyle w:val="TableParagraph"/>
              <w:spacing w:before="60" w:after="60"/>
              <w:ind w:right="115"/>
              <w:jc w:val="both"/>
            </w:pPr>
            <w:r>
              <w:t>(iv). a Senior Manager of the entity endorses the CAPA. Delay in submitting the Corrective and Preventive Action may result in legal adverse consequences.</w:t>
            </w:r>
          </w:p>
        </w:tc>
        <w:tc>
          <w:tcPr>
            <w:tcW w:w="833" w:type="dxa"/>
            <w:shd w:val="clear" w:color="auto" w:fill="auto"/>
            <w:vAlign w:val="center"/>
          </w:tcPr>
          <w:p w:rsidR="00D24EE3" w:rsidRPr="003F3BDE" w:rsidRDefault="00D24EE3" w:rsidP="00FB2FB7">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D24EE3" w:rsidRPr="003F3BDE" w:rsidRDefault="00D24EE3" w:rsidP="00FB2FB7">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D24EE3" w:rsidRPr="003F3BDE" w:rsidRDefault="00D24EE3" w:rsidP="00FB2FB7">
            <w:pPr>
              <w:widowControl w:val="0"/>
              <w:autoSpaceDE w:val="0"/>
              <w:autoSpaceDN w:val="0"/>
              <w:jc w:val="center"/>
              <w:rPr>
                <w:rFonts w:eastAsia="Calibri" w:cstheme="minorHAnsi"/>
                <w:b/>
                <w:kern w:val="0"/>
                <w:sz w:val="22"/>
                <w:szCs w:val="22"/>
                <w:lang w:val="en-US"/>
                <w14:ligatures w14:val="none"/>
              </w:rPr>
            </w:pPr>
          </w:p>
        </w:tc>
        <w:tc>
          <w:tcPr>
            <w:tcW w:w="1120" w:type="dxa"/>
          </w:tcPr>
          <w:p w:rsidR="00D24EE3" w:rsidRPr="003F3BDE" w:rsidRDefault="00D24EE3" w:rsidP="00FB2FB7">
            <w:pPr>
              <w:widowControl w:val="0"/>
              <w:autoSpaceDE w:val="0"/>
              <w:autoSpaceDN w:val="0"/>
              <w:jc w:val="center"/>
              <w:rPr>
                <w:rFonts w:eastAsia="Calibri" w:cstheme="minorHAnsi"/>
                <w:b/>
                <w:kern w:val="0"/>
                <w:sz w:val="22"/>
                <w:szCs w:val="22"/>
                <w:lang w:val="en-US"/>
                <w14:ligatures w14:val="none"/>
              </w:rPr>
            </w:pPr>
          </w:p>
        </w:tc>
      </w:tr>
    </w:tbl>
    <w:p w:rsidR="00F76C44" w:rsidRDefault="00F76C44" w:rsidP="00B3346C">
      <w:pPr>
        <w:widowControl w:val="0"/>
        <w:autoSpaceDE w:val="0"/>
        <w:autoSpaceDN w:val="0"/>
        <w:ind w:left="144" w:right="36" w:hanging="144"/>
        <w:jc w:val="center"/>
        <w:rPr>
          <w:rFonts w:eastAsia="Calibri" w:cstheme="minorHAnsi"/>
          <w:b/>
          <w:kern w:val="0"/>
          <w:sz w:val="20"/>
          <w:szCs w:val="20"/>
          <w:lang w:val="en-US"/>
          <w14:ligatures w14:val="none"/>
        </w:rPr>
      </w:pPr>
    </w:p>
    <w:p w:rsidR="00AD1DE5" w:rsidRDefault="00AD1DE5" w:rsidP="00B3346C">
      <w:pPr>
        <w:widowControl w:val="0"/>
        <w:autoSpaceDE w:val="0"/>
        <w:autoSpaceDN w:val="0"/>
        <w:ind w:left="144" w:right="36" w:hanging="144"/>
        <w:jc w:val="center"/>
        <w:rPr>
          <w:rFonts w:eastAsia="Calibri" w:cstheme="minorHAnsi"/>
          <w:b/>
          <w:kern w:val="0"/>
          <w:sz w:val="20"/>
          <w:szCs w:val="20"/>
          <w:lang w:val="en-US"/>
          <w14:ligatures w14:val="none"/>
        </w:rPr>
      </w:pPr>
    </w:p>
    <w:p w:rsidR="00AD1DE5" w:rsidRDefault="00AD1DE5" w:rsidP="00B3346C">
      <w:pPr>
        <w:widowControl w:val="0"/>
        <w:autoSpaceDE w:val="0"/>
        <w:autoSpaceDN w:val="0"/>
        <w:ind w:left="144" w:right="36" w:hanging="144"/>
        <w:jc w:val="center"/>
        <w:rPr>
          <w:rFonts w:eastAsia="Calibri" w:cstheme="minorHAnsi"/>
          <w:b/>
          <w:kern w:val="0"/>
          <w:sz w:val="20"/>
          <w:szCs w:val="20"/>
          <w:lang w:val="en-US"/>
          <w14:ligatures w14:val="none"/>
        </w:rPr>
      </w:pPr>
    </w:p>
    <w:p w:rsidR="00AD1DE5" w:rsidRDefault="00AD1DE5" w:rsidP="00B3346C">
      <w:pPr>
        <w:widowControl w:val="0"/>
        <w:autoSpaceDE w:val="0"/>
        <w:autoSpaceDN w:val="0"/>
        <w:ind w:left="144" w:right="36" w:hanging="144"/>
        <w:jc w:val="center"/>
        <w:rPr>
          <w:rFonts w:eastAsia="Calibri" w:cstheme="minorHAnsi"/>
          <w:b/>
          <w:kern w:val="0"/>
          <w:sz w:val="20"/>
          <w:szCs w:val="20"/>
          <w:lang w:val="en-US"/>
          <w14:ligatures w14:val="none"/>
        </w:rPr>
      </w:pPr>
    </w:p>
    <w:p w:rsidR="00AD1DE5" w:rsidRDefault="00AD1DE5" w:rsidP="00B3346C">
      <w:pPr>
        <w:widowControl w:val="0"/>
        <w:autoSpaceDE w:val="0"/>
        <w:autoSpaceDN w:val="0"/>
        <w:ind w:left="144" w:right="36" w:hanging="144"/>
        <w:jc w:val="center"/>
        <w:rPr>
          <w:rFonts w:eastAsia="Calibri" w:cstheme="minorHAnsi"/>
          <w:b/>
          <w:kern w:val="0"/>
          <w:sz w:val="20"/>
          <w:szCs w:val="20"/>
          <w:lang w:val="en-US"/>
          <w14:ligatures w14:val="none"/>
        </w:rPr>
      </w:pPr>
    </w:p>
    <w:tbl>
      <w:tblPr>
        <w:tblStyle w:val="TableGrid"/>
        <w:tblW w:w="0" w:type="auto"/>
        <w:tblInd w:w="-365" w:type="dxa"/>
        <w:tblLook w:val="04A0" w:firstRow="1" w:lastRow="0" w:firstColumn="1" w:lastColumn="0" w:noHBand="0" w:noVBand="1"/>
      </w:tblPr>
      <w:tblGrid>
        <w:gridCol w:w="10665"/>
      </w:tblGrid>
      <w:tr w:rsidR="00AD1DE5" w:rsidTr="00AD1DE5">
        <w:tc>
          <w:tcPr>
            <w:tcW w:w="10665" w:type="dxa"/>
            <w:shd w:val="clear" w:color="auto" w:fill="DEEAF6" w:themeFill="accent1" w:themeFillTint="33"/>
          </w:tcPr>
          <w:p w:rsidR="00AD1DE5" w:rsidRDefault="00AD1DE5" w:rsidP="00B3346C">
            <w:pPr>
              <w:widowControl w:val="0"/>
              <w:autoSpaceDE w:val="0"/>
              <w:autoSpaceDN w:val="0"/>
              <w:ind w:right="36"/>
              <w:jc w:val="center"/>
              <w:rPr>
                <w:rFonts w:eastAsia="Calibri" w:cstheme="minorHAnsi"/>
                <w:b/>
                <w:kern w:val="0"/>
                <w:sz w:val="20"/>
                <w:szCs w:val="20"/>
                <w:lang w:val="en-US"/>
                <w14:ligatures w14:val="none"/>
              </w:rPr>
            </w:pPr>
            <w:r w:rsidRPr="00AD1DE5">
              <w:rPr>
                <w:rFonts w:eastAsia="Calibri" w:cstheme="minorHAnsi"/>
                <w:b/>
                <w:kern w:val="0"/>
                <w:lang w:val="en-US"/>
                <w14:ligatures w14:val="none"/>
              </w:rPr>
              <w:t>Conclusion</w:t>
            </w:r>
            <w:r w:rsidR="00D24EE3">
              <w:rPr>
                <w:rFonts w:eastAsia="Calibri" w:cstheme="minorHAnsi"/>
                <w:b/>
                <w:kern w:val="0"/>
                <w:lang w:val="en-US"/>
                <w14:ligatures w14:val="none"/>
              </w:rPr>
              <w:t>:</w:t>
            </w:r>
          </w:p>
        </w:tc>
      </w:tr>
      <w:tr w:rsidR="00AD1DE5" w:rsidTr="00AD1DE5">
        <w:tc>
          <w:tcPr>
            <w:tcW w:w="10665" w:type="dxa"/>
          </w:tcPr>
          <w:p w:rsidR="00AD1DE5" w:rsidRDefault="00AD1DE5" w:rsidP="00AD1DE5">
            <w:pPr>
              <w:widowControl w:val="0"/>
              <w:autoSpaceDE w:val="0"/>
              <w:autoSpaceDN w:val="0"/>
              <w:ind w:right="36"/>
            </w:pPr>
            <w:r>
              <w:t>1. All entities in Oman are required to review and apply the necessary amendments to their current relevant process and procedures to safeguard the transportation chain in the cargo operations area.</w:t>
            </w:r>
          </w:p>
          <w:p w:rsidR="00AD1DE5" w:rsidRDefault="00AD1DE5" w:rsidP="00AD1DE5">
            <w:pPr>
              <w:widowControl w:val="0"/>
              <w:autoSpaceDE w:val="0"/>
              <w:autoSpaceDN w:val="0"/>
              <w:ind w:right="36"/>
              <w:rPr>
                <w:rFonts w:eastAsia="Calibri" w:cstheme="minorHAnsi"/>
                <w:b/>
                <w:kern w:val="0"/>
                <w:sz w:val="20"/>
                <w:szCs w:val="20"/>
                <w:lang w:val="en-US"/>
                <w14:ligatures w14:val="none"/>
              </w:rPr>
            </w:pPr>
          </w:p>
          <w:p w:rsidR="00AD1DE5" w:rsidRDefault="00AD1DE5" w:rsidP="00AD1DE5">
            <w:pPr>
              <w:widowControl w:val="0"/>
              <w:autoSpaceDE w:val="0"/>
              <w:autoSpaceDN w:val="0"/>
              <w:ind w:right="36"/>
              <w:rPr>
                <w:rFonts w:eastAsia="Calibri" w:cstheme="minorHAnsi"/>
                <w:b/>
                <w:kern w:val="0"/>
                <w:sz w:val="20"/>
                <w:szCs w:val="20"/>
                <w:lang w:val="en-US"/>
                <w14:ligatures w14:val="none"/>
              </w:rPr>
            </w:pPr>
            <w:r>
              <w:rPr>
                <w:rFonts w:eastAsia="Calibri" w:cstheme="minorHAnsi"/>
                <w:b/>
                <w:kern w:val="0"/>
                <w:sz w:val="20"/>
                <w:szCs w:val="20"/>
                <w:lang w:val="en-US"/>
                <w14:ligatures w14:val="none"/>
              </w:rPr>
              <w:t xml:space="preserve">2. </w:t>
            </w:r>
            <w:bookmarkStart w:id="0" w:name="_GoBack"/>
            <w:r>
              <w:t>For any question concerning the technical content of this Directive, please contact the Flight Safety Department.</w:t>
            </w:r>
            <w:bookmarkEnd w:id="0"/>
          </w:p>
        </w:tc>
      </w:tr>
    </w:tbl>
    <w:p w:rsidR="00AD1DE5" w:rsidRDefault="00AD1DE5" w:rsidP="00B3346C">
      <w:pPr>
        <w:widowControl w:val="0"/>
        <w:autoSpaceDE w:val="0"/>
        <w:autoSpaceDN w:val="0"/>
        <w:ind w:left="144" w:right="36" w:hanging="144"/>
        <w:jc w:val="center"/>
        <w:rPr>
          <w:rFonts w:eastAsia="Calibri" w:cstheme="minorHAnsi"/>
          <w:b/>
          <w:kern w:val="0"/>
          <w:sz w:val="20"/>
          <w:szCs w:val="20"/>
          <w:lang w:val="en-US"/>
          <w14:ligatures w14:val="none"/>
        </w:rPr>
      </w:pPr>
    </w:p>
    <w:p w:rsidR="00B3346C" w:rsidRDefault="00B3346C" w:rsidP="00B3346C">
      <w:pPr>
        <w:widowControl w:val="0"/>
        <w:autoSpaceDE w:val="0"/>
        <w:autoSpaceDN w:val="0"/>
        <w:ind w:left="144" w:right="36" w:hanging="144"/>
        <w:jc w:val="center"/>
        <w:rPr>
          <w:rFonts w:eastAsia="Calibri" w:cstheme="minorHAnsi"/>
          <w:b/>
          <w:kern w:val="0"/>
          <w:sz w:val="20"/>
          <w:szCs w:val="20"/>
          <w:lang w:val="en-US"/>
          <w14:ligatures w14:val="none"/>
        </w:rPr>
        <w:sectPr w:rsidR="00B3346C" w:rsidSect="00B953B9">
          <w:pgSz w:w="11910" w:h="16840"/>
          <w:pgMar w:top="1340" w:right="580" w:bottom="1350" w:left="1020" w:header="0" w:footer="433" w:gutter="0"/>
          <w:cols w:space="720"/>
          <w:docGrid w:linePitch="326"/>
        </w:sectPr>
      </w:pPr>
    </w:p>
    <w:p w:rsidR="00886486" w:rsidRDefault="00886486"/>
    <w:tbl>
      <w:tblPr>
        <w:tblStyle w:val="TableGrid"/>
        <w:tblW w:w="5178" w:type="pct"/>
        <w:tblInd w:w="-366" w:type="dxa"/>
        <w:tblLook w:val="04A0" w:firstRow="1" w:lastRow="0" w:firstColumn="1" w:lastColumn="0" w:noHBand="0" w:noVBand="1"/>
      </w:tblPr>
      <w:tblGrid>
        <w:gridCol w:w="5041"/>
        <w:gridCol w:w="3601"/>
        <w:gridCol w:w="2025"/>
      </w:tblGrid>
      <w:tr w:rsidR="00594B21" w:rsidTr="00AD1DE5">
        <w:trPr>
          <w:trHeight w:val="720"/>
        </w:trPr>
        <w:tc>
          <w:tcPr>
            <w:tcW w:w="5000" w:type="pct"/>
            <w:gridSpan w:val="3"/>
            <w:shd w:val="clear" w:color="auto" w:fill="DEEAF6" w:themeFill="accent1" w:themeFillTint="33"/>
          </w:tcPr>
          <w:p w:rsidR="00594B21" w:rsidRPr="00812EAE" w:rsidRDefault="00594B21" w:rsidP="00F83285">
            <w:pPr>
              <w:spacing w:before="120" w:after="120"/>
              <w:rPr>
                <w:sz w:val="22"/>
                <w:szCs w:val="22"/>
              </w:rPr>
            </w:pPr>
            <w:r w:rsidRPr="00812EAE">
              <w:rPr>
                <w:rFonts w:cstheme="minorHAnsi"/>
                <w:b/>
                <w:sz w:val="22"/>
                <w:szCs w:val="22"/>
              </w:rPr>
              <w:t>This</w:t>
            </w:r>
            <w:r w:rsidRPr="00812EAE">
              <w:rPr>
                <w:rFonts w:cstheme="minorHAnsi"/>
                <w:b/>
                <w:spacing w:val="-2"/>
                <w:sz w:val="22"/>
                <w:szCs w:val="22"/>
              </w:rPr>
              <w:t xml:space="preserve"> </w:t>
            </w:r>
            <w:r w:rsidRPr="00812EAE">
              <w:rPr>
                <w:rFonts w:cstheme="minorHAnsi"/>
                <w:b/>
                <w:sz w:val="22"/>
                <w:szCs w:val="22"/>
              </w:rPr>
              <w:t>is</w:t>
            </w:r>
            <w:r w:rsidRPr="00812EAE">
              <w:rPr>
                <w:rFonts w:cstheme="minorHAnsi"/>
                <w:b/>
                <w:spacing w:val="-3"/>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certify</w:t>
            </w:r>
            <w:r w:rsidRPr="00812EAE">
              <w:rPr>
                <w:rFonts w:cstheme="minorHAnsi"/>
                <w:b/>
                <w:spacing w:val="-3"/>
                <w:sz w:val="22"/>
                <w:szCs w:val="22"/>
              </w:rPr>
              <w:t xml:space="preserve"> </w:t>
            </w:r>
            <w:r w:rsidRPr="00812EAE">
              <w:rPr>
                <w:rFonts w:cstheme="minorHAnsi"/>
                <w:b/>
                <w:sz w:val="22"/>
                <w:szCs w:val="22"/>
              </w:rPr>
              <w:t>that</w:t>
            </w:r>
            <w:r w:rsidRPr="00812EAE">
              <w:rPr>
                <w:rFonts w:cstheme="minorHAnsi"/>
                <w:b/>
                <w:spacing w:val="-2"/>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company</w:t>
            </w:r>
            <w:r w:rsidRPr="00812EAE">
              <w:rPr>
                <w:rFonts w:cstheme="minorHAnsi"/>
                <w:b/>
                <w:spacing w:val="-2"/>
                <w:sz w:val="22"/>
                <w:szCs w:val="22"/>
              </w:rPr>
              <w:t xml:space="preserve"> </w:t>
            </w:r>
            <w:r w:rsidRPr="00812EAE">
              <w:rPr>
                <w:rFonts w:cstheme="minorHAnsi"/>
                <w:b/>
                <w:sz w:val="22"/>
                <w:szCs w:val="22"/>
              </w:rPr>
              <w:t>manual(s)</w:t>
            </w:r>
            <w:r w:rsidRPr="00812EAE">
              <w:rPr>
                <w:rFonts w:cstheme="minorHAnsi"/>
                <w:b/>
                <w:spacing w:val="-2"/>
                <w:sz w:val="22"/>
                <w:szCs w:val="22"/>
              </w:rPr>
              <w:t xml:space="preserve"> </w:t>
            </w:r>
            <w:r w:rsidRPr="00812EAE">
              <w:rPr>
                <w:rFonts w:cstheme="minorHAnsi"/>
                <w:b/>
                <w:sz w:val="22"/>
                <w:szCs w:val="22"/>
              </w:rPr>
              <w:t>have</w:t>
            </w:r>
            <w:r w:rsidRPr="00812EAE">
              <w:rPr>
                <w:rFonts w:cstheme="minorHAnsi"/>
                <w:b/>
                <w:spacing w:val="-3"/>
                <w:sz w:val="22"/>
                <w:szCs w:val="22"/>
              </w:rPr>
              <w:t xml:space="preserve"> </w:t>
            </w:r>
            <w:r w:rsidRPr="00812EAE">
              <w:rPr>
                <w:rFonts w:cstheme="minorHAnsi"/>
                <w:b/>
                <w:sz w:val="22"/>
                <w:szCs w:val="22"/>
              </w:rPr>
              <w:t>addressed</w:t>
            </w:r>
            <w:r w:rsidRPr="00812EAE">
              <w:rPr>
                <w:rFonts w:cstheme="minorHAnsi"/>
                <w:b/>
                <w:spacing w:val="-1"/>
                <w:sz w:val="22"/>
                <w:szCs w:val="22"/>
              </w:rPr>
              <w:t xml:space="preserve"> </w:t>
            </w:r>
            <w:r w:rsidRPr="00812EAE">
              <w:rPr>
                <w:rFonts w:cstheme="minorHAnsi"/>
                <w:b/>
                <w:sz w:val="22"/>
                <w:szCs w:val="22"/>
              </w:rPr>
              <w:t>all</w:t>
            </w:r>
            <w:r w:rsidRPr="00812EAE">
              <w:rPr>
                <w:rFonts w:cstheme="minorHAnsi"/>
                <w:b/>
                <w:spacing w:val="-3"/>
                <w:sz w:val="22"/>
                <w:szCs w:val="22"/>
              </w:rPr>
              <w:t xml:space="preserve"> </w:t>
            </w:r>
            <w:r w:rsidRPr="00812EAE">
              <w:rPr>
                <w:rFonts w:cstheme="minorHAnsi"/>
                <w:b/>
                <w:sz w:val="22"/>
                <w:szCs w:val="22"/>
              </w:rPr>
              <w:t>Sultanate</w:t>
            </w:r>
            <w:r w:rsidRPr="00812EAE">
              <w:rPr>
                <w:rFonts w:cstheme="minorHAnsi"/>
                <w:b/>
                <w:spacing w:val="-2"/>
                <w:sz w:val="22"/>
                <w:szCs w:val="22"/>
              </w:rPr>
              <w:t xml:space="preserve"> </w:t>
            </w:r>
            <w:r w:rsidRPr="00812EAE">
              <w:rPr>
                <w:rFonts w:cstheme="minorHAnsi"/>
                <w:b/>
                <w:sz w:val="22"/>
                <w:szCs w:val="22"/>
              </w:rPr>
              <w:t>of</w:t>
            </w:r>
            <w:r w:rsidRPr="00812EAE">
              <w:rPr>
                <w:rFonts w:cstheme="minorHAnsi"/>
                <w:b/>
                <w:spacing w:val="-2"/>
                <w:sz w:val="22"/>
                <w:szCs w:val="22"/>
              </w:rPr>
              <w:t xml:space="preserve"> </w:t>
            </w:r>
            <w:r w:rsidRPr="00812EAE">
              <w:rPr>
                <w:rFonts w:cstheme="minorHAnsi"/>
                <w:b/>
                <w:sz w:val="22"/>
                <w:szCs w:val="22"/>
              </w:rPr>
              <w:t>Oman</w:t>
            </w:r>
            <w:r w:rsidRPr="00812EAE">
              <w:rPr>
                <w:rFonts w:cstheme="minorHAnsi"/>
                <w:b/>
                <w:spacing w:val="-2"/>
                <w:sz w:val="22"/>
                <w:szCs w:val="22"/>
              </w:rPr>
              <w:t xml:space="preserve"> </w:t>
            </w:r>
            <w:r w:rsidRPr="00812EAE">
              <w:rPr>
                <w:rFonts w:cstheme="minorHAnsi"/>
                <w:b/>
                <w:sz w:val="22"/>
                <w:szCs w:val="22"/>
              </w:rPr>
              <w:t>relevant</w:t>
            </w:r>
            <w:r w:rsidRPr="00812EAE">
              <w:rPr>
                <w:rFonts w:cstheme="minorHAnsi"/>
                <w:b/>
                <w:spacing w:val="-2"/>
                <w:sz w:val="22"/>
                <w:szCs w:val="22"/>
              </w:rPr>
              <w:t xml:space="preserve"> </w:t>
            </w:r>
            <w:r w:rsidRPr="00812EAE">
              <w:rPr>
                <w:rFonts w:cstheme="minorHAnsi"/>
                <w:b/>
                <w:sz w:val="22"/>
                <w:szCs w:val="22"/>
              </w:rPr>
              <w:t>applicable</w:t>
            </w:r>
            <w:r w:rsidRPr="00812EAE">
              <w:rPr>
                <w:rFonts w:cstheme="minorHAnsi"/>
                <w:b/>
                <w:spacing w:val="-2"/>
                <w:sz w:val="22"/>
                <w:szCs w:val="22"/>
              </w:rPr>
              <w:t xml:space="preserve"> </w:t>
            </w:r>
            <w:r w:rsidRPr="00812EAE">
              <w:rPr>
                <w:rFonts w:cstheme="minorHAnsi"/>
                <w:b/>
                <w:sz w:val="22"/>
                <w:szCs w:val="22"/>
              </w:rPr>
              <w:t>Regulations</w:t>
            </w:r>
            <w:r w:rsidRPr="00812EAE">
              <w:rPr>
                <w:rFonts w:cstheme="minorHAnsi"/>
                <w:b/>
                <w:spacing w:val="-2"/>
                <w:sz w:val="22"/>
                <w:szCs w:val="22"/>
              </w:rPr>
              <w:t xml:space="preserve"> </w:t>
            </w:r>
            <w:r w:rsidRPr="00812EAE">
              <w:rPr>
                <w:rFonts w:cstheme="minorHAnsi"/>
                <w:b/>
                <w:sz w:val="22"/>
                <w:szCs w:val="22"/>
              </w:rPr>
              <w:t>(CARs)</w:t>
            </w:r>
            <w:r w:rsidRPr="00812EAE">
              <w:rPr>
                <w:rFonts w:cstheme="minorHAnsi"/>
                <w:b/>
                <w:spacing w:val="-2"/>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proposed</w:t>
            </w:r>
            <w:r w:rsidRPr="00812EAE">
              <w:rPr>
                <w:rFonts w:cstheme="minorHAnsi"/>
                <w:b/>
                <w:spacing w:val="-1"/>
                <w:sz w:val="22"/>
                <w:szCs w:val="22"/>
              </w:rPr>
              <w:t xml:space="preserve"> </w:t>
            </w:r>
            <w:r w:rsidRPr="00812EAE">
              <w:rPr>
                <w:rFonts w:cstheme="minorHAnsi"/>
                <w:b/>
                <w:sz w:val="22"/>
                <w:szCs w:val="22"/>
              </w:rPr>
              <w:t>operations</w:t>
            </w:r>
            <w:r>
              <w:rPr>
                <w:rFonts w:cstheme="minorHAnsi"/>
                <w:b/>
                <w:sz w:val="22"/>
                <w:szCs w:val="22"/>
              </w:rPr>
              <w:t>.</w:t>
            </w:r>
          </w:p>
        </w:tc>
      </w:tr>
      <w:tr w:rsidR="00594B21" w:rsidTr="00AD1DE5">
        <w:trPr>
          <w:trHeight w:val="432"/>
        </w:trPr>
        <w:tc>
          <w:tcPr>
            <w:tcW w:w="2363" w:type="pct"/>
            <w:shd w:val="clear" w:color="auto" w:fill="DEEAF6" w:themeFill="accent1" w:themeFillTint="33"/>
          </w:tcPr>
          <w:p w:rsidR="00594B21" w:rsidRPr="00812EAE" w:rsidRDefault="00594B21" w:rsidP="00F83285">
            <w:pPr>
              <w:spacing w:before="120"/>
              <w:rPr>
                <w:sz w:val="22"/>
                <w:szCs w:val="22"/>
              </w:rPr>
            </w:pPr>
            <w:r w:rsidRPr="00812EAE">
              <w:rPr>
                <w:rFonts w:cstheme="minorHAnsi"/>
                <w:b/>
                <w:spacing w:val="-3"/>
                <w:sz w:val="22"/>
                <w:szCs w:val="22"/>
              </w:rPr>
              <w:t>Postholder Operations Name</w:t>
            </w:r>
          </w:p>
        </w:tc>
        <w:tc>
          <w:tcPr>
            <w:tcW w:w="1688" w:type="pct"/>
            <w:shd w:val="clear" w:color="auto" w:fill="DEEAF6" w:themeFill="accent1" w:themeFillTint="33"/>
          </w:tcPr>
          <w:p w:rsidR="00594B21" w:rsidRPr="00812EAE" w:rsidRDefault="00594B21" w:rsidP="00F83285">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49" w:type="pct"/>
            <w:shd w:val="clear" w:color="auto" w:fill="DEEAF6" w:themeFill="accent1" w:themeFillTint="33"/>
          </w:tcPr>
          <w:p w:rsidR="00594B21" w:rsidRPr="00812EAE" w:rsidRDefault="00594B21" w:rsidP="00F83285">
            <w:pPr>
              <w:spacing w:before="120" w:after="120"/>
              <w:rPr>
                <w:rFonts w:cstheme="minorHAnsi"/>
                <w:color w:val="333333"/>
                <w:sz w:val="22"/>
                <w:szCs w:val="22"/>
                <w:shd w:val="clear" w:color="auto" w:fill="FFFFFF"/>
              </w:rPr>
            </w:pPr>
            <w:r w:rsidRPr="00812EAE">
              <w:rPr>
                <w:rFonts w:cstheme="minorHAnsi"/>
                <w:b/>
                <w:sz w:val="22"/>
                <w:szCs w:val="22"/>
              </w:rPr>
              <w:t>Date:</w:t>
            </w:r>
          </w:p>
        </w:tc>
      </w:tr>
      <w:tr w:rsidR="00594B21" w:rsidTr="00AD1DE5">
        <w:trPr>
          <w:trHeight w:val="1152"/>
        </w:trPr>
        <w:tc>
          <w:tcPr>
            <w:tcW w:w="2363" w:type="pct"/>
          </w:tcPr>
          <w:p w:rsidR="00594B21" w:rsidRDefault="00594B21" w:rsidP="00F83285"/>
        </w:tc>
        <w:tc>
          <w:tcPr>
            <w:tcW w:w="1688" w:type="pct"/>
          </w:tcPr>
          <w:p w:rsidR="00594B21" w:rsidRDefault="00594B21" w:rsidP="00F83285"/>
        </w:tc>
        <w:tc>
          <w:tcPr>
            <w:tcW w:w="949" w:type="pct"/>
          </w:tcPr>
          <w:p w:rsidR="00594B21" w:rsidRDefault="00594B21" w:rsidP="00F83285"/>
        </w:tc>
      </w:tr>
    </w:tbl>
    <w:tbl>
      <w:tblPr>
        <w:tblStyle w:val="TableGrid"/>
        <w:tblpPr w:leftFromText="180" w:rightFromText="180" w:vertAnchor="text" w:horzAnchor="margin" w:tblpXSpec="center" w:tblpY="532"/>
        <w:tblW w:w="5178" w:type="pct"/>
        <w:tblLook w:val="04A0" w:firstRow="1" w:lastRow="0" w:firstColumn="1" w:lastColumn="0" w:noHBand="0" w:noVBand="1"/>
      </w:tblPr>
      <w:tblGrid>
        <w:gridCol w:w="1534"/>
        <w:gridCol w:w="3983"/>
        <w:gridCol w:w="2577"/>
        <w:gridCol w:w="2573"/>
      </w:tblGrid>
      <w:tr w:rsidR="00AD1DE5" w:rsidTr="00AD1DE5">
        <w:trPr>
          <w:trHeight w:val="432"/>
        </w:trPr>
        <w:tc>
          <w:tcPr>
            <w:tcW w:w="719" w:type="pct"/>
            <w:shd w:val="clear" w:color="auto" w:fill="DEEAF6" w:themeFill="accent1" w:themeFillTint="33"/>
          </w:tcPr>
          <w:p w:rsidR="00AD1DE5" w:rsidRPr="00CC4599" w:rsidRDefault="00AD1DE5" w:rsidP="00AD1DE5">
            <w:pPr>
              <w:spacing w:before="120"/>
              <w:ind w:left="-432"/>
              <w:jc w:val="center"/>
              <w:rPr>
                <w:sz w:val="22"/>
                <w:szCs w:val="22"/>
              </w:rPr>
            </w:pPr>
            <w:r w:rsidRPr="00CC4599">
              <w:rPr>
                <w:rFonts w:cstheme="minorHAnsi"/>
                <w:b/>
                <w:bCs/>
                <w:sz w:val="22"/>
                <w:szCs w:val="22"/>
              </w:rPr>
              <w:t>Title</w:t>
            </w:r>
          </w:p>
        </w:tc>
        <w:tc>
          <w:tcPr>
            <w:tcW w:w="1867" w:type="pct"/>
            <w:shd w:val="clear" w:color="auto" w:fill="DEEAF6" w:themeFill="accent1" w:themeFillTint="33"/>
          </w:tcPr>
          <w:p w:rsidR="00AD1DE5" w:rsidRPr="00CC4599" w:rsidRDefault="00AD1DE5" w:rsidP="00AD1DE5">
            <w:pPr>
              <w:spacing w:before="120"/>
              <w:jc w:val="center"/>
              <w:rPr>
                <w:sz w:val="22"/>
                <w:szCs w:val="22"/>
              </w:rPr>
            </w:pPr>
            <w:r w:rsidRPr="00CC4599">
              <w:rPr>
                <w:rFonts w:cstheme="minorHAnsi"/>
                <w:b/>
                <w:sz w:val="22"/>
                <w:szCs w:val="22"/>
              </w:rPr>
              <w:t>Name of CAA Inspector</w:t>
            </w:r>
          </w:p>
        </w:tc>
        <w:tc>
          <w:tcPr>
            <w:tcW w:w="1208" w:type="pct"/>
            <w:shd w:val="clear" w:color="auto" w:fill="DEEAF6" w:themeFill="accent1" w:themeFillTint="33"/>
          </w:tcPr>
          <w:p w:rsidR="00AD1DE5" w:rsidRPr="00CC4599" w:rsidRDefault="00AD1DE5" w:rsidP="00AD1DE5">
            <w:pPr>
              <w:spacing w:before="120"/>
              <w:jc w:val="center"/>
              <w:rPr>
                <w:sz w:val="22"/>
                <w:szCs w:val="22"/>
              </w:rPr>
            </w:pPr>
            <w:r w:rsidRPr="00CC4599">
              <w:rPr>
                <w:rFonts w:cstheme="minorHAnsi"/>
                <w:b/>
                <w:sz w:val="22"/>
                <w:szCs w:val="22"/>
              </w:rPr>
              <w:t>Signature</w:t>
            </w:r>
          </w:p>
        </w:tc>
        <w:tc>
          <w:tcPr>
            <w:tcW w:w="1206" w:type="pct"/>
            <w:shd w:val="clear" w:color="auto" w:fill="DEEAF6" w:themeFill="accent1" w:themeFillTint="33"/>
          </w:tcPr>
          <w:p w:rsidR="00AD1DE5" w:rsidRDefault="00AD1DE5" w:rsidP="00AD1DE5">
            <w:pPr>
              <w:spacing w:before="120"/>
              <w:jc w:val="center"/>
            </w:pPr>
            <w:r w:rsidRPr="00812EAE">
              <w:rPr>
                <w:rFonts w:cstheme="minorHAnsi"/>
                <w:b/>
                <w:sz w:val="22"/>
                <w:szCs w:val="22"/>
              </w:rPr>
              <w:t>Date:</w:t>
            </w:r>
          </w:p>
        </w:tc>
      </w:tr>
      <w:tr w:rsidR="00AD1DE5" w:rsidTr="00AD1DE5">
        <w:trPr>
          <w:trHeight w:val="576"/>
        </w:trPr>
        <w:tc>
          <w:tcPr>
            <w:tcW w:w="719" w:type="pct"/>
          </w:tcPr>
          <w:p w:rsidR="00AD1DE5" w:rsidRPr="00CC4599" w:rsidRDefault="00AD1DE5" w:rsidP="00AD1DE5">
            <w:pPr>
              <w:ind w:left="-1008"/>
              <w:jc w:val="center"/>
              <w:rPr>
                <w:sz w:val="22"/>
                <w:szCs w:val="22"/>
              </w:rPr>
            </w:pPr>
            <w:r w:rsidRPr="00CC4599">
              <w:rPr>
                <w:rFonts w:cstheme="minorHAnsi"/>
                <w:b/>
                <w:bCs/>
                <w:sz w:val="22"/>
                <w:szCs w:val="22"/>
              </w:rPr>
              <w:t>FOI</w:t>
            </w:r>
          </w:p>
        </w:tc>
        <w:tc>
          <w:tcPr>
            <w:tcW w:w="1867" w:type="pct"/>
          </w:tcPr>
          <w:p w:rsidR="00AD1DE5" w:rsidRDefault="00AD1DE5" w:rsidP="00AD1DE5"/>
        </w:tc>
        <w:tc>
          <w:tcPr>
            <w:tcW w:w="1208" w:type="pct"/>
          </w:tcPr>
          <w:p w:rsidR="00AD1DE5" w:rsidRDefault="00AD1DE5" w:rsidP="00AD1DE5"/>
        </w:tc>
        <w:tc>
          <w:tcPr>
            <w:tcW w:w="1206" w:type="pct"/>
          </w:tcPr>
          <w:p w:rsidR="00AD1DE5" w:rsidRDefault="00AD1DE5" w:rsidP="00AD1DE5"/>
        </w:tc>
      </w:tr>
      <w:tr w:rsidR="00AD1DE5" w:rsidTr="00AD1DE5">
        <w:trPr>
          <w:trHeight w:val="576"/>
        </w:trPr>
        <w:tc>
          <w:tcPr>
            <w:tcW w:w="719" w:type="pct"/>
          </w:tcPr>
          <w:p w:rsidR="00AD1DE5" w:rsidRPr="00CC4599" w:rsidRDefault="00AD1DE5" w:rsidP="00AD1DE5">
            <w:pPr>
              <w:rPr>
                <w:sz w:val="22"/>
                <w:szCs w:val="22"/>
              </w:rPr>
            </w:pPr>
            <w:r w:rsidRPr="00CC4599">
              <w:rPr>
                <w:rFonts w:cstheme="minorHAnsi"/>
                <w:b/>
                <w:bCs/>
                <w:sz w:val="22"/>
                <w:szCs w:val="22"/>
              </w:rPr>
              <w:t>GOI/DGI</w:t>
            </w:r>
          </w:p>
        </w:tc>
        <w:tc>
          <w:tcPr>
            <w:tcW w:w="1867" w:type="pct"/>
          </w:tcPr>
          <w:p w:rsidR="00AD1DE5" w:rsidRDefault="00AD1DE5" w:rsidP="00AD1DE5"/>
        </w:tc>
        <w:tc>
          <w:tcPr>
            <w:tcW w:w="1208" w:type="pct"/>
          </w:tcPr>
          <w:p w:rsidR="00AD1DE5" w:rsidRDefault="00AD1DE5" w:rsidP="00AD1DE5"/>
        </w:tc>
        <w:tc>
          <w:tcPr>
            <w:tcW w:w="1206" w:type="pct"/>
          </w:tcPr>
          <w:p w:rsidR="00AD1DE5" w:rsidRDefault="00AD1DE5" w:rsidP="00AD1DE5"/>
        </w:tc>
      </w:tr>
      <w:tr w:rsidR="00AD1DE5" w:rsidTr="00AD1DE5">
        <w:trPr>
          <w:trHeight w:val="576"/>
        </w:trPr>
        <w:tc>
          <w:tcPr>
            <w:tcW w:w="719" w:type="pct"/>
          </w:tcPr>
          <w:p w:rsidR="00AD1DE5" w:rsidRPr="00185A1A" w:rsidRDefault="00AD1DE5" w:rsidP="00AD1DE5">
            <w:pPr>
              <w:rPr>
                <w:b/>
                <w:bCs/>
                <w:sz w:val="22"/>
                <w:szCs w:val="22"/>
              </w:rPr>
            </w:pPr>
            <w:r w:rsidRPr="00185A1A">
              <w:rPr>
                <w:b/>
                <w:bCs/>
                <w:sz w:val="22"/>
                <w:szCs w:val="22"/>
              </w:rPr>
              <w:t>CSI</w:t>
            </w:r>
          </w:p>
        </w:tc>
        <w:tc>
          <w:tcPr>
            <w:tcW w:w="1867" w:type="pct"/>
          </w:tcPr>
          <w:p w:rsidR="00AD1DE5" w:rsidRDefault="00AD1DE5" w:rsidP="00AD1DE5"/>
        </w:tc>
        <w:tc>
          <w:tcPr>
            <w:tcW w:w="1208" w:type="pct"/>
          </w:tcPr>
          <w:p w:rsidR="00AD1DE5" w:rsidRDefault="00AD1DE5" w:rsidP="00AD1DE5"/>
        </w:tc>
        <w:tc>
          <w:tcPr>
            <w:tcW w:w="1206" w:type="pct"/>
          </w:tcPr>
          <w:p w:rsidR="00AD1DE5" w:rsidRDefault="00AD1DE5" w:rsidP="00AD1DE5"/>
        </w:tc>
      </w:tr>
    </w:tbl>
    <w:tbl>
      <w:tblPr>
        <w:tblStyle w:val="TableGrid"/>
        <w:tblpPr w:leftFromText="180" w:rightFromText="180" w:vertAnchor="text" w:horzAnchor="margin" w:tblpXSpec="center" w:tblpY="3584"/>
        <w:tblW w:w="5221" w:type="pct"/>
        <w:tblLook w:val="04A0" w:firstRow="1" w:lastRow="0" w:firstColumn="1" w:lastColumn="0" w:noHBand="0" w:noVBand="1"/>
      </w:tblPr>
      <w:tblGrid>
        <w:gridCol w:w="2430"/>
        <w:gridCol w:w="3175"/>
        <w:gridCol w:w="2577"/>
        <w:gridCol w:w="2573"/>
      </w:tblGrid>
      <w:tr w:rsidR="00AD1DE5" w:rsidTr="00AD1DE5">
        <w:trPr>
          <w:trHeight w:val="432"/>
        </w:trPr>
        <w:tc>
          <w:tcPr>
            <w:tcW w:w="1130" w:type="pct"/>
            <w:vMerge w:val="restart"/>
          </w:tcPr>
          <w:p w:rsidR="00AD1DE5" w:rsidRPr="00CC4599" w:rsidRDefault="00AD1DE5" w:rsidP="00AD1DE5">
            <w:pPr>
              <w:jc w:val="cente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1476" w:type="pct"/>
            <w:vMerge w:val="restart"/>
          </w:tcPr>
          <w:p w:rsidR="00AD1DE5" w:rsidRPr="00CC4599" w:rsidRDefault="00AD1DE5" w:rsidP="00AD1DE5">
            <w:pPr>
              <w:jc w:val="center"/>
              <w:rPr>
                <w:sz w:val="22"/>
                <w:szCs w:val="22"/>
              </w:rPr>
            </w:pPr>
            <w:r>
              <w:rPr>
                <w:rFonts w:cstheme="minorHAnsi"/>
                <w:b/>
                <w:sz w:val="22"/>
                <w:szCs w:val="22"/>
              </w:rPr>
              <w:t>D.</w:t>
            </w:r>
            <w:r>
              <w:rPr>
                <w:b/>
                <w:sz w:val="20"/>
              </w:rPr>
              <w:tab/>
            </w:r>
            <w:r w:rsidRPr="00CC4599">
              <w:rPr>
                <w:rFonts w:cstheme="minorHAnsi"/>
                <w:b/>
                <w:sz w:val="22"/>
                <w:szCs w:val="22"/>
              </w:rPr>
              <w:t>Results</w:t>
            </w:r>
          </w:p>
        </w:tc>
        <w:tc>
          <w:tcPr>
            <w:tcW w:w="1198" w:type="pct"/>
            <w:vAlign w:val="center"/>
          </w:tcPr>
          <w:p w:rsidR="00AD1DE5" w:rsidRPr="00CC4599" w:rsidRDefault="00AD1DE5" w:rsidP="00AD1DE5">
            <w:pPr>
              <w:jc w:val="center"/>
              <w:rPr>
                <w:sz w:val="22"/>
                <w:szCs w:val="22"/>
              </w:rPr>
            </w:pPr>
            <w:r w:rsidRPr="00CC4599">
              <w:rPr>
                <w:rFonts w:cstheme="minorHAnsi"/>
                <w:b/>
                <w:sz w:val="22"/>
                <w:szCs w:val="22"/>
              </w:rPr>
              <w:t>Approved</w:t>
            </w:r>
          </w:p>
        </w:tc>
        <w:tc>
          <w:tcPr>
            <w:tcW w:w="1196" w:type="pct"/>
            <w:vAlign w:val="center"/>
          </w:tcPr>
          <w:p w:rsidR="00AD1DE5" w:rsidRPr="00CC4599" w:rsidRDefault="00AD1DE5" w:rsidP="00AD1DE5">
            <w:pPr>
              <w:jc w:val="center"/>
              <w:rPr>
                <w:sz w:val="22"/>
                <w:szCs w:val="22"/>
              </w:rPr>
            </w:pP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tr w:rsidR="00AD1DE5" w:rsidTr="00AD1DE5">
        <w:trPr>
          <w:trHeight w:val="432"/>
        </w:trPr>
        <w:tc>
          <w:tcPr>
            <w:tcW w:w="1130" w:type="pct"/>
            <w:vMerge/>
          </w:tcPr>
          <w:p w:rsidR="00AD1DE5" w:rsidRDefault="00AD1DE5" w:rsidP="00AD1DE5"/>
        </w:tc>
        <w:tc>
          <w:tcPr>
            <w:tcW w:w="1476" w:type="pct"/>
            <w:vMerge/>
          </w:tcPr>
          <w:p w:rsidR="00AD1DE5" w:rsidRDefault="00AD1DE5" w:rsidP="00AD1DE5"/>
        </w:tc>
        <w:tc>
          <w:tcPr>
            <w:tcW w:w="1198" w:type="pct"/>
            <w:vAlign w:val="center"/>
          </w:tcPr>
          <w:p w:rsidR="00AD1DE5" w:rsidRPr="00615625" w:rsidRDefault="00AD1DE5" w:rsidP="00AD1DE5">
            <w:pPr>
              <w:jc w:val="center"/>
              <w:rPr>
                <w:rFonts w:cstheme="minorHAnsi"/>
                <w:color w:val="333333"/>
                <w:shd w:val="clear" w:color="auto" w:fill="FFFFFF"/>
              </w:rPr>
            </w:pPr>
            <w:r w:rsidRPr="00615625">
              <w:rPr>
                <w:rFonts w:ascii="Segoe UI Symbol" w:hAnsi="Segoe UI Symbol" w:cs="Segoe UI Symbol"/>
                <w:w w:val="99"/>
              </w:rPr>
              <w:t>☐</w:t>
            </w:r>
          </w:p>
        </w:tc>
        <w:tc>
          <w:tcPr>
            <w:tcW w:w="1196" w:type="pct"/>
            <w:vAlign w:val="center"/>
          </w:tcPr>
          <w:p w:rsidR="00AD1DE5" w:rsidRPr="00615625" w:rsidRDefault="00AD1DE5" w:rsidP="00AD1DE5">
            <w:pPr>
              <w:jc w:val="center"/>
              <w:rPr>
                <w:rFonts w:cstheme="minorHAnsi"/>
                <w:color w:val="333333"/>
                <w:shd w:val="clear" w:color="auto" w:fill="FFFFFF"/>
              </w:rPr>
            </w:pPr>
            <w:r w:rsidRPr="00615625">
              <w:rPr>
                <w:rFonts w:ascii="Segoe UI Symbol" w:hAnsi="Segoe UI Symbol" w:cs="Segoe UI Symbol"/>
                <w:w w:val="99"/>
              </w:rPr>
              <w:t>☐</w:t>
            </w:r>
          </w:p>
        </w:tc>
      </w:tr>
    </w:tbl>
    <w:tbl>
      <w:tblPr>
        <w:tblStyle w:val="TableGrid"/>
        <w:tblpPr w:leftFromText="180" w:rightFromText="180" w:vertAnchor="text" w:horzAnchor="margin" w:tblpXSpec="center" w:tblpY="5522"/>
        <w:tblW w:w="5221" w:type="pct"/>
        <w:tblLook w:val="04A0" w:firstRow="1" w:lastRow="0" w:firstColumn="1" w:lastColumn="0" w:noHBand="0" w:noVBand="1"/>
      </w:tblPr>
      <w:tblGrid>
        <w:gridCol w:w="5605"/>
        <w:gridCol w:w="2577"/>
        <w:gridCol w:w="2573"/>
      </w:tblGrid>
      <w:tr w:rsidR="00AD1DE5" w:rsidTr="00AD1DE5">
        <w:trPr>
          <w:trHeight w:val="432"/>
        </w:trPr>
        <w:tc>
          <w:tcPr>
            <w:tcW w:w="2606" w:type="pct"/>
            <w:vAlign w:val="center"/>
          </w:tcPr>
          <w:p w:rsidR="00AD1DE5" w:rsidRDefault="00AD1DE5" w:rsidP="00AD1DE5">
            <w:pPr>
              <w:jc w:val="center"/>
            </w:pPr>
            <w:r w:rsidRPr="00CC4599">
              <w:rPr>
                <w:rFonts w:cstheme="minorHAnsi"/>
                <w:b/>
                <w:bCs/>
                <w:color w:val="333333"/>
                <w:sz w:val="22"/>
                <w:szCs w:val="22"/>
                <w:shd w:val="clear" w:color="auto" w:fill="FFFFFF"/>
              </w:rPr>
              <w:t>Chief Operations Section (COS) Name</w:t>
            </w:r>
          </w:p>
        </w:tc>
        <w:tc>
          <w:tcPr>
            <w:tcW w:w="1198" w:type="pct"/>
            <w:vAlign w:val="center"/>
          </w:tcPr>
          <w:p w:rsidR="00AD1DE5" w:rsidRPr="00CC4599" w:rsidRDefault="00AD1DE5" w:rsidP="00AD1DE5">
            <w:pPr>
              <w:jc w:val="center"/>
              <w:rPr>
                <w:sz w:val="22"/>
                <w:szCs w:val="22"/>
              </w:rPr>
            </w:pPr>
            <w:r w:rsidRPr="00CC4599">
              <w:rPr>
                <w:rFonts w:cstheme="minorHAnsi"/>
                <w:b/>
                <w:sz w:val="22"/>
                <w:szCs w:val="22"/>
              </w:rPr>
              <w:t>Signature</w:t>
            </w:r>
          </w:p>
        </w:tc>
        <w:tc>
          <w:tcPr>
            <w:tcW w:w="1196" w:type="pct"/>
            <w:vAlign w:val="center"/>
          </w:tcPr>
          <w:p w:rsidR="00AD1DE5" w:rsidRDefault="00AD1DE5" w:rsidP="00AD1DE5">
            <w:pPr>
              <w:jc w:val="center"/>
            </w:pPr>
            <w:r w:rsidRPr="00812EAE">
              <w:rPr>
                <w:rFonts w:cstheme="minorHAnsi"/>
                <w:b/>
                <w:sz w:val="22"/>
                <w:szCs w:val="22"/>
              </w:rPr>
              <w:t>Date:</w:t>
            </w:r>
          </w:p>
        </w:tc>
      </w:tr>
      <w:tr w:rsidR="00AD1DE5" w:rsidTr="00AD1DE5">
        <w:trPr>
          <w:trHeight w:val="1008"/>
        </w:trPr>
        <w:tc>
          <w:tcPr>
            <w:tcW w:w="2606" w:type="pct"/>
          </w:tcPr>
          <w:p w:rsidR="00AD1DE5" w:rsidRPr="00CC4599" w:rsidRDefault="00AD1DE5" w:rsidP="00AD1DE5">
            <w:pPr>
              <w:rPr>
                <w:rFonts w:cstheme="minorHAnsi"/>
                <w:b/>
                <w:bCs/>
                <w:color w:val="333333"/>
                <w:sz w:val="22"/>
                <w:szCs w:val="22"/>
                <w:shd w:val="clear" w:color="auto" w:fill="FFFFFF"/>
              </w:rPr>
            </w:pPr>
          </w:p>
        </w:tc>
        <w:tc>
          <w:tcPr>
            <w:tcW w:w="1198" w:type="pct"/>
          </w:tcPr>
          <w:p w:rsidR="00AD1DE5" w:rsidRPr="00CC4599" w:rsidRDefault="00AD1DE5" w:rsidP="00AD1DE5">
            <w:pPr>
              <w:jc w:val="center"/>
              <w:rPr>
                <w:rFonts w:cstheme="minorHAnsi"/>
                <w:b/>
                <w:sz w:val="22"/>
                <w:szCs w:val="22"/>
              </w:rPr>
            </w:pPr>
          </w:p>
        </w:tc>
        <w:tc>
          <w:tcPr>
            <w:tcW w:w="1196" w:type="pct"/>
          </w:tcPr>
          <w:p w:rsidR="00AD1DE5" w:rsidRPr="00812EAE" w:rsidRDefault="00AD1DE5" w:rsidP="00AD1DE5">
            <w:pPr>
              <w:jc w:val="center"/>
              <w:rPr>
                <w:rFonts w:cstheme="minorHAnsi"/>
                <w:b/>
                <w:sz w:val="22"/>
                <w:szCs w:val="22"/>
              </w:rPr>
            </w:pPr>
          </w:p>
        </w:tc>
      </w:tr>
    </w:tbl>
    <w:p w:rsidR="00886486" w:rsidRDefault="00886486">
      <w:pPr>
        <w:rPr>
          <w:rtl/>
          <w:lang w:bidi="ar-OM"/>
        </w:rPr>
        <w:sectPr w:rsidR="00886486" w:rsidSect="00B953B9">
          <w:pgSz w:w="11910" w:h="16840"/>
          <w:pgMar w:top="1340" w:right="580" w:bottom="1350" w:left="1020" w:header="0" w:footer="433" w:gutter="0"/>
          <w:cols w:space="720"/>
          <w:docGrid w:linePitch="326"/>
        </w:sectPr>
      </w:pPr>
    </w:p>
    <w:p w:rsidR="00594B21" w:rsidRDefault="00594B21" w:rsidP="00E16FB3"/>
    <w:sectPr w:rsidR="00594B21" w:rsidSect="00B953B9">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907" w:rsidRDefault="00790907" w:rsidP="007A4135">
      <w:r>
        <w:separator/>
      </w:r>
    </w:p>
  </w:endnote>
  <w:endnote w:type="continuationSeparator" w:id="0">
    <w:p w:rsidR="00790907" w:rsidRDefault="00790907"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790907" w:rsidRDefault="0079090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790907" w:rsidRDefault="00790907"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907" w:rsidRDefault="00790907" w:rsidP="007A4135">
      <w:r>
        <w:separator/>
      </w:r>
    </w:p>
  </w:footnote>
  <w:footnote w:type="continuationSeparator" w:id="0">
    <w:p w:rsidR="00790907" w:rsidRDefault="00790907"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907" w:rsidRDefault="00790907">
    <w:pPr>
      <w:pStyle w:val="Heade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5738"/>
      <w:gridCol w:w="999"/>
      <w:gridCol w:w="1804"/>
    </w:tblGrid>
    <w:tr w:rsidR="00790907" w:rsidRPr="00584365" w:rsidTr="0025426C">
      <w:trPr>
        <w:trHeight w:hRule="exact" w:val="475"/>
      </w:trPr>
      <w:tc>
        <w:tcPr>
          <w:tcW w:w="2079" w:type="dxa"/>
          <w:vMerge w:val="restart"/>
        </w:tcPr>
        <w:p w:rsidR="00790907" w:rsidRPr="00584365" w:rsidRDefault="00790907" w:rsidP="000A7DE1">
          <w:pPr>
            <w:widowControl w:val="0"/>
            <w:autoSpaceDE w:val="0"/>
            <w:autoSpaceDN w:val="0"/>
            <w:spacing w:before="10"/>
            <w:rPr>
              <w:rFonts w:ascii="Calibri" w:eastAsia="Calibri" w:hAnsi="Calibri" w:cs="Calibri"/>
              <w:b/>
              <w:kern w:val="0"/>
              <w:sz w:val="9"/>
              <w:szCs w:val="22"/>
              <w:lang w:val="en-US"/>
              <w14:ligatures w14:val="none"/>
            </w:rPr>
          </w:pPr>
        </w:p>
        <w:p w:rsidR="00790907" w:rsidRPr="00584365" w:rsidRDefault="00790907" w:rsidP="000A7DE1">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78EC333F" wp14:editId="1876ED9A">
                <wp:extent cx="827549" cy="699715"/>
                <wp:effectExtent l="0" t="0" r="0" b="5715"/>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790907" w:rsidRPr="00584365" w:rsidRDefault="00790907" w:rsidP="000A7DE1">
          <w:pPr>
            <w:widowControl w:val="0"/>
            <w:autoSpaceDE w:val="0"/>
            <w:autoSpaceDN w:val="0"/>
            <w:rPr>
              <w:rFonts w:ascii="Calibri" w:eastAsia="Calibri" w:hAnsi="Calibri" w:cs="Calibri"/>
              <w:b/>
              <w:kern w:val="0"/>
              <w:sz w:val="20"/>
              <w:szCs w:val="22"/>
              <w:lang w:val="en-US"/>
              <w14:ligatures w14:val="none"/>
            </w:rPr>
          </w:pPr>
        </w:p>
      </w:tc>
      <w:tc>
        <w:tcPr>
          <w:tcW w:w="5738" w:type="dxa"/>
          <w:vMerge w:val="restart"/>
          <w:shd w:val="clear" w:color="auto" w:fill="DEEAF6" w:themeFill="accent1" w:themeFillTint="33"/>
        </w:tcPr>
        <w:p w:rsidR="00790907" w:rsidRPr="00A15FC6" w:rsidRDefault="00790907" w:rsidP="0025426C">
          <w:pPr>
            <w:pStyle w:val="TableParagraph"/>
            <w:tabs>
              <w:tab w:val="left" w:pos="1399"/>
              <w:tab w:val="center" w:pos="2670"/>
            </w:tabs>
            <w:spacing w:before="60"/>
            <w:ind w:left="1109" w:right="1109" w:hanging="331"/>
            <w:jc w:val="center"/>
            <w:rPr>
              <w:b/>
              <w:spacing w:val="-9"/>
              <w:sz w:val="24"/>
              <w:szCs w:val="24"/>
            </w:rPr>
          </w:pPr>
          <w:r>
            <w:rPr>
              <w:b/>
              <w:sz w:val="24"/>
              <w:szCs w:val="24"/>
            </w:rPr>
            <w:t xml:space="preserve">Phase 3                                                               </w:t>
          </w:r>
          <w:r w:rsidRPr="00A15FC6">
            <w:rPr>
              <w:b/>
              <w:sz w:val="24"/>
              <w:szCs w:val="24"/>
            </w:rPr>
            <w:t>Air</w:t>
          </w:r>
          <w:r w:rsidRPr="00A15FC6">
            <w:rPr>
              <w:b/>
              <w:spacing w:val="-11"/>
              <w:sz w:val="24"/>
              <w:szCs w:val="24"/>
            </w:rPr>
            <w:t xml:space="preserve"> </w:t>
          </w:r>
          <w:r w:rsidRPr="00A15FC6">
            <w:rPr>
              <w:b/>
              <w:sz w:val="24"/>
              <w:szCs w:val="24"/>
            </w:rPr>
            <w:t>Operator</w:t>
          </w:r>
          <w:r w:rsidRPr="00A15FC6">
            <w:rPr>
              <w:b/>
              <w:spacing w:val="-11"/>
              <w:sz w:val="24"/>
              <w:szCs w:val="24"/>
            </w:rPr>
            <w:t xml:space="preserve"> </w:t>
          </w:r>
          <w:r w:rsidRPr="00A15FC6">
            <w:rPr>
              <w:b/>
              <w:sz w:val="24"/>
              <w:szCs w:val="24"/>
            </w:rPr>
            <w:t>Certification</w:t>
          </w:r>
        </w:p>
        <w:p w:rsidR="00790907" w:rsidRPr="00A15FC6" w:rsidRDefault="00790907" w:rsidP="0025426C">
          <w:pPr>
            <w:pStyle w:val="TableParagraph"/>
            <w:spacing w:before="60"/>
            <w:ind w:left="15" w:right="83" w:hanging="15"/>
            <w:jc w:val="center"/>
            <w:rPr>
              <w:b/>
              <w:sz w:val="24"/>
              <w:szCs w:val="24"/>
            </w:rPr>
          </w:pPr>
          <w:r w:rsidRPr="00A15FC6">
            <w:rPr>
              <w:b/>
              <w:sz w:val="24"/>
              <w:szCs w:val="24"/>
            </w:rPr>
            <w:t>Document</w:t>
          </w:r>
          <w:r w:rsidRPr="00A15FC6">
            <w:rPr>
              <w:b/>
              <w:spacing w:val="-11"/>
              <w:sz w:val="24"/>
              <w:szCs w:val="24"/>
            </w:rPr>
            <w:t xml:space="preserve"> </w:t>
          </w:r>
          <w:r w:rsidRPr="00A15FC6">
            <w:rPr>
              <w:b/>
              <w:sz w:val="24"/>
              <w:szCs w:val="24"/>
            </w:rPr>
            <w:t>Evaluation Checklist</w:t>
          </w:r>
        </w:p>
        <w:p w:rsidR="00790907" w:rsidRPr="00AA775C" w:rsidRDefault="00790907" w:rsidP="00A15FC6">
          <w:pPr>
            <w:pStyle w:val="TableParagraph"/>
            <w:spacing w:before="60" w:line="292" w:lineRule="auto"/>
            <w:ind w:left="1104" w:right="1104" w:hanging="327"/>
            <w:jc w:val="center"/>
            <w:rPr>
              <w:b/>
              <w:sz w:val="26"/>
              <w:szCs w:val="26"/>
            </w:rPr>
          </w:pPr>
          <w:r w:rsidRPr="00A15FC6">
            <w:rPr>
              <w:b/>
              <w:sz w:val="24"/>
              <w:szCs w:val="24"/>
            </w:rPr>
            <w:t>Ground Operations Manual</w:t>
          </w:r>
          <w:r w:rsidR="00D24EE3">
            <w:rPr>
              <w:b/>
              <w:sz w:val="24"/>
              <w:szCs w:val="24"/>
            </w:rPr>
            <w:t>/CAD 2-02</w:t>
          </w:r>
        </w:p>
      </w:tc>
      <w:tc>
        <w:tcPr>
          <w:tcW w:w="999" w:type="dxa"/>
          <w:shd w:val="clear" w:color="auto" w:fill="DEEAF6" w:themeFill="accent1" w:themeFillTint="33"/>
          <w:vAlign w:val="center"/>
        </w:tcPr>
        <w:p w:rsidR="00790907" w:rsidRPr="00A15FC6" w:rsidRDefault="00790907" w:rsidP="00A15FC6">
          <w:pPr>
            <w:widowControl w:val="0"/>
            <w:autoSpaceDE w:val="0"/>
            <w:autoSpaceDN w:val="0"/>
            <w:spacing w:before="59"/>
            <w:ind w:left="103"/>
            <w:rPr>
              <w:rFonts w:ascii="Calibri" w:eastAsia="Calibri" w:hAnsi="Calibri" w:cs="Calibri"/>
              <w:b/>
              <w:kern w:val="0"/>
              <w:sz w:val="22"/>
              <w:szCs w:val="22"/>
              <w:lang w:val="en-US"/>
              <w14:ligatures w14:val="none"/>
            </w:rPr>
          </w:pPr>
          <w:r w:rsidRPr="00A15FC6">
            <w:rPr>
              <w:rFonts w:ascii="Calibri" w:eastAsia="Calibri" w:hAnsi="Calibri" w:cs="Calibri"/>
              <w:b/>
              <w:kern w:val="0"/>
              <w:sz w:val="22"/>
              <w:szCs w:val="22"/>
              <w:lang w:val="en-US"/>
              <w14:ligatures w14:val="none"/>
            </w:rPr>
            <w:t>Form</w:t>
          </w:r>
        </w:p>
      </w:tc>
      <w:tc>
        <w:tcPr>
          <w:tcW w:w="1804" w:type="dxa"/>
          <w:shd w:val="clear" w:color="auto" w:fill="DEEAF6" w:themeFill="accent1" w:themeFillTint="33"/>
          <w:vAlign w:val="center"/>
        </w:tcPr>
        <w:p w:rsidR="00790907" w:rsidRPr="00A32651" w:rsidRDefault="00790907" w:rsidP="00A15FC6">
          <w:pPr>
            <w:widowControl w:val="0"/>
            <w:autoSpaceDE w:val="0"/>
            <w:autoSpaceDN w:val="0"/>
            <w:spacing w:before="59"/>
            <w:ind w:left="103"/>
            <w:rPr>
              <w:rFonts w:ascii="Calibri" w:eastAsia="Calibri" w:hAnsi="Calibri" w:cs="Calibri"/>
              <w:b/>
              <w:kern w:val="0"/>
              <w:sz w:val="20"/>
              <w:szCs w:val="20"/>
              <w:lang w:val="en-US"/>
              <w14:ligatures w14:val="none"/>
            </w:rPr>
          </w:pPr>
          <w:r w:rsidRPr="00A32651">
            <w:rPr>
              <w:b/>
              <w:sz w:val="20"/>
              <w:szCs w:val="20"/>
            </w:rPr>
            <w:t>AOC</w:t>
          </w:r>
          <w:r>
            <w:rPr>
              <w:b/>
              <w:sz w:val="20"/>
              <w:szCs w:val="20"/>
            </w:rPr>
            <w:t>-</w:t>
          </w:r>
          <w:r w:rsidRPr="00A32651">
            <w:rPr>
              <w:b/>
              <w:sz w:val="20"/>
              <w:szCs w:val="20"/>
            </w:rPr>
            <w:t>103</w:t>
          </w:r>
          <w:r>
            <w:rPr>
              <w:b/>
              <w:sz w:val="20"/>
              <w:szCs w:val="20"/>
            </w:rPr>
            <w:t xml:space="preserve"> I - </w:t>
          </w:r>
          <w:r w:rsidRPr="00A32651">
            <w:rPr>
              <w:b/>
              <w:sz w:val="20"/>
              <w:szCs w:val="20"/>
            </w:rPr>
            <w:t>GOM</w:t>
          </w:r>
        </w:p>
      </w:tc>
    </w:tr>
    <w:tr w:rsidR="00790907" w:rsidRPr="00584365" w:rsidTr="0025426C">
      <w:trPr>
        <w:trHeight w:hRule="exact" w:val="475"/>
      </w:trPr>
      <w:tc>
        <w:tcPr>
          <w:tcW w:w="2079" w:type="dxa"/>
          <w:vMerge/>
        </w:tcPr>
        <w:p w:rsidR="00790907" w:rsidRPr="00584365" w:rsidRDefault="00790907" w:rsidP="000A7DE1">
          <w:pPr>
            <w:widowControl w:val="0"/>
            <w:autoSpaceDE w:val="0"/>
            <w:autoSpaceDN w:val="0"/>
            <w:rPr>
              <w:rFonts w:ascii="Calibri" w:eastAsia="Calibri" w:hAnsi="Calibri" w:cs="Calibri"/>
              <w:kern w:val="0"/>
              <w:sz w:val="22"/>
              <w:szCs w:val="22"/>
              <w:lang w:val="en-US"/>
              <w14:ligatures w14:val="none"/>
            </w:rPr>
          </w:pPr>
        </w:p>
      </w:tc>
      <w:tc>
        <w:tcPr>
          <w:tcW w:w="5738" w:type="dxa"/>
          <w:vMerge/>
          <w:shd w:val="clear" w:color="auto" w:fill="DEEAF6" w:themeFill="accent1" w:themeFillTint="33"/>
        </w:tcPr>
        <w:p w:rsidR="00790907" w:rsidRPr="00584365" w:rsidRDefault="00790907" w:rsidP="000A7DE1">
          <w:pPr>
            <w:widowControl w:val="0"/>
            <w:autoSpaceDE w:val="0"/>
            <w:autoSpaceDN w:val="0"/>
            <w:rPr>
              <w:rFonts w:ascii="Calibri" w:eastAsia="Calibri" w:hAnsi="Calibri" w:cs="Calibri"/>
              <w:kern w:val="0"/>
              <w:sz w:val="22"/>
              <w:szCs w:val="22"/>
              <w:lang w:val="en-US"/>
              <w14:ligatures w14:val="none"/>
            </w:rPr>
          </w:pPr>
        </w:p>
      </w:tc>
      <w:tc>
        <w:tcPr>
          <w:tcW w:w="999" w:type="dxa"/>
          <w:shd w:val="clear" w:color="auto" w:fill="DEEAF6" w:themeFill="accent1" w:themeFillTint="33"/>
          <w:vAlign w:val="center"/>
        </w:tcPr>
        <w:p w:rsidR="00790907" w:rsidRPr="00A15FC6" w:rsidRDefault="00790907" w:rsidP="00A15FC6">
          <w:pPr>
            <w:widowControl w:val="0"/>
            <w:autoSpaceDE w:val="0"/>
            <w:autoSpaceDN w:val="0"/>
            <w:spacing w:before="59"/>
            <w:ind w:left="103"/>
            <w:rPr>
              <w:rFonts w:ascii="Calibri" w:eastAsia="Calibri" w:hAnsi="Calibri" w:cs="Calibri"/>
              <w:b/>
              <w:kern w:val="0"/>
              <w:sz w:val="22"/>
              <w:szCs w:val="22"/>
              <w:lang w:val="en-US"/>
              <w14:ligatures w14:val="none"/>
            </w:rPr>
          </w:pPr>
          <w:r w:rsidRPr="00A15FC6">
            <w:rPr>
              <w:rFonts w:ascii="Calibri" w:eastAsia="Calibri" w:hAnsi="Calibri" w:cs="Calibri"/>
              <w:b/>
              <w:kern w:val="0"/>
              <w:sz w:val="22"/>
              <w:szCs w:val="22"/>
              <w:lang w:val="en-US"/>
              <w14:ligatures w14:val="none"/>
            </w:rPr>
            <w:t>Revision</w:t>
          </w:r>
        </w:p>
      </w:tc>
      <w:tc>
        <w:tcPr>
          <w:tcW w:w="1804" w:type="dxa"/>
          <w:shd w:val="clear" w:color="auto" w:fill="DEEAF6" w:themeFill="accent1" w:themeFillTint="33"/>
          <w:vAlign w:val="center"/>
        </w:tcPr>
        <w:p w:rsidR="00790907" w:rsidRPr="00A32651" w:rsidRDefault="00790907" w:rsidP="00A15FC6">
          <w:pPr>
            <w:widowControl w:val="0"/>
            <w:autoSpaceDE w:val="0"/>
            <w:autoSpaceDN w:val="0"/>
            <w:spacing w:before="59"/>
            <w:ind w:left="103"/>
            <w:rPr>
              <w:rFonts w:ascii="Calibri" w:eastAsia="Calibri" w:hAnsi="Calibri" w:cs="Calibri"/>
              <w:b/>
              <w:kern w:val="0"/>
              <w:sz w:val="20"/>
              <w:szCs w:val="20"/>
              <w:lang w:val="en-US"/>
              <w14:ligatures w14:val="none"/>
            </w:rPr>
          </w:pPr>
          <w:r w:rsidRPr="00A32651">
            <w:rPr>
              <w:rFonts w:ascii="Calibri" w:eastAsia="Calibri" w:hAnsi="Calibri" w:cs="Calibri"/>
              <w:b/>
              <w:kern w:val="0"/>
              <w:sz w:val="20"/>
              <w:szCs w:val="20"/>
              <w:lang w:val="en-US"/>
              <w14:ligatures w14:val="none"/>
            </w:rPr>
            <w:t>03</w:t>
          </w:r>
        </w:p>
      </w:tc>
    </w:tr>
    <w:tr w:rsidR="00790907" w:rsidRPr="00584365" w:rsidTr="0025426C">
      <w:trPr>
        <w:trHeight w:hRule="exact" w:val="475"/>
      </w:trPr>
      <w:tc>
        <w:tcPr>
          <w:tcW w:w="2079" w:type="dxa"/>
          <w:vMerge/>
          <w:tcBorders>
            <w:bottom w:val="single" w:sz="8" w:space="0" w:color="000000"/>
          </w:tcBorders>
        </w:tcPr>
        <w:p w:rsidR="00790907" w:rsidRPr="00584365" w:rsidRDefault="00790907" w:rsidP="000A7DE1">
          <w:pPr>
            <w:widowControl w:val="0"/>
            <w:autoSpaceDE w:val="0"/>
            <w:autoSpaceDN w:val="0"/>
            <w:rPr>
              <w:rFonts w:ascii="Calibri" w:eastAsia="Calibri" w:hAnsi="Calibri" w:cs="Calibri"/>
              <w:kern w:val="0"/>
              <w:sz w:val="22"/>
              <w:szCs w:val="22"/>
              <w:lang w:val="en-US"/>
              <w14:ligatures w14:val="none"/>
            </w:rPr>
          </w:pPr>
        </w:p>
      </w:tc>
      <w:tc>
        <w:tcPr>
          <w:tcW w:w="5738" w:type="dxa"/>
          <w:vMerge/>
          <w:tcBorders>
            <w:bottom w:val="single" w:sz="8" w:space="0" w:color="000000"/>
          </w:tcBorders>
          <w:shd w:val="clear" w:color="auto" w:fill="DEEAF6" w:themeFill="accent1" w:themeFillTint="33"/>
        </w:tcPr>
        <w:p w:rsidR="00790907" w:rsidRPr="00584365" w:rsidRDefault="00790907" w:rsidP="000A7DE1">
          <w:pPr>
            <w:widowControl w:val="0"/>
            <w:autoSpaceDE w:val="0"/>
            <w:autoSpaceDN w:val="0"/>
            <w:rPr>
              <w:rFonts w:ascii="Calibri" w:eastAsia="Calibri" w:hAnsi="Calibri" w:cs="Calibri"/>
              <w:kern w:val="0"/>
              <w:sz w:val="22"/>
              <w:szCs w:val="22"/>
              <w:lang w:val="en-US"/>
              <w14:ligatures w14:val="none"/>
            </w:rPr>
          </w:pPr>
        </w:p>
      </w:tc>
      <w:tc>
        <w:tcPr>
          <w:tcW w:w="999" w:type="dxa"/>
          <w:tcBorders>
            <w:bottom w:val="single" w:sz="8" w:space="0" w:color="000000"/>
          </w:tcBorders>
          <w:shd w:val="clear" w:color="auto" w:fill="DEEAF6" w:themeFill="accent1" w:themeFillTint="33"/>
          <w:vAlign w:val="center"/>
        </w:tcPr>
        <w:p w:rsidR="00790907" w:rsidRPr="00A15FC6" w:rsidRDefault="00790907" w:rsidP="00A15FC6">
          <w:pPr>
            <w:widowControl w:val="0"/>
            <w:autoSpaceDE w:val="0"/>
            <w:autoSpaceDN w:val="0"/>
            <w:spacing w:before="59"/>
            <w:ind w:left="103"/>
            <w:rPr>
              <w:rFonts w:ascii="Calibri" w:eastAsia="Calibri" w:hAnsi="Calibri" w:cs="Calibri"/>
              <w:b/>
              <w:kern w:val="0"/>
              <w:sz w:val="22"/>
              <w:szCs w:val="22"/>
              <w:lang w:val="en-US"/>
              <w14:ligatures w14:val="none"/>
            </w:rPr>
          </w:pPr>
          <w:r w:rsidRPr="00A15FC6">
            <w:rPr>
              <w:rFonts w:ascii="Calibri" w:eastAsia="Calibri" w:hAnsi="Calibri" w:cs="Calibri"/>
              <w:b/>
              <w:kern w:val="0"/>
              <w:sz w:val="22"/>
              <w:szCs w:val="22"/>
              <w:lang w:val="en-US"/>
              <w14:ligatures w14:val="none"/>
            </w:rPr>
            <w:t>Date</w:t>
          </w:r>
        </w:p>
      </w:tc>
      <w:tc>
        <w:tcPr>
          <w:tcW w:w="1804" w:type="dxa"/>
          <w:tcBorders>
            <w:bottom w:val="single" w:sz="8" w:space="0" w:color="000000"/>
          </w:tcBorders>
          <w:shd w:val="clear" w:color="auto" w:fill="DEEAF6" w:themeFill="accent1" w:themeFillTint="33"/>
          <w:vAlign w:val="center"/>
        </w:tcPr>
        <w:p w:rsidR="00790907" w:rsidRPr="00CE1EB4" w:rsidRDefault="00790907" w:rsidP="00A15FC6">
          <w:pPr>
            <w:widowControl w:val="0"/>
            <w:autoSpaceDE w:val="0"/>
            <w:autoSpaceDN w:val="0"/>
            <w:spacing w:before="59"/>
            <w:ind w:left="103"/>
            <w:rPr>
              <w:rFonts w:ascii="Calibri" w:eastAsia="Calibri" w:hAnsi="Calibri" w:cs="Calibri"/>
              <w:b/>
              <w:kern w:val="0"/>
              <w:sz w:val="20"/>
              <w:szCs w:val="20"/>
              <w:lang w:val="en-US"/>
              <w14:ligatures w14:val="none"/>
            </w:rPr>
          </w:pPr>
          <w:r w:rsidRPr="00CE1EB4">
            <w:rPr>
              <w:rFonts w:cstheme="minorHAnsi"/>
              <w:b/>
              <w:sz w:val="20"/>
              <w:szCs w:val="20"/>
            </w:rPr>
            <w:t>01 Feb 2024</w:t>
          </w:r>
        </w:p>
      </w:tc>
    </w:tr>
  </w:tbl>
  <w:p w:rsidR="00790907" w:rsidRDefault="00790907" w:rsidP="00F76C44">
    <w:pPr>
      <w:pStyle w:val="Header"/>
      <w:tabs>
        <w:tab w:val="clear" w:pos="4680"/>
        <w:tab w:val="clear" w:pos="9360"/>
        <w:tab w:val="left" w:pos="97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339"/>
    <w:multiLevelType w:val="hybridMultilevel"/>
    <w:tmpl w:val="E57663FE"/>
    <w:lvl w:ilvl="0" w:tplc="89620202">
      <w:start w:val="1"/>
      <w:numFmt w:val="decimal"/>
      <w:lvlText w:val="%1."/>
      <w:lvlJc w:val="left"/>
      <w:pPr>
        <w:ind w:left="1008" w:hanging="360"/>
      </w:pPr>
      <w:rPr>
        <w:rFonts w:hint="default"/>
        <w:b/>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2D306FC"/>
    <w:multiLevelType w:val="hybridMultilevel"/>
    <w:tmpl w:val="31BEAC9C"/>
    <w:lvl w:ilvl="0" w:tplc="7FC04F84">
      <w:start w:val="1"/>
      <w:numFmt w:val="lowerRoman"/>
      <w:lvlText w:val="%1."/>
      <w:lvlJc w:val="right"/>
      <w:pPr>
        <w:ind w:left="824" w:hanging="360"/>
      </w:pPr>
      <w:rPr>
        <w:b/>
        <w:bCs/>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 w15:restartNumberingAfterBreak="0">
    <w:nsid w:val="02FD5E7A"/>
    <w:multiLevelType w:val="hybridMultilevel"/>
    <w:tmpl w:val="589A7898"/>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15:restartNumberingAfterBreak="0">
    <w:nsid w:val="054C6DE1"/>
    <w:multiLevelType w:val="hybridMultilevel"/>
    <w:tmpl w:val="3A4602D2"/>
    <w:lvl w:ilvl="0" w:tplc="7A36F83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832C5"/>
    <w:multiLevelType w:val="hybridMultilevel"/>
    <w:tmpl w:val="1F36E378"/>
    <w:lvl w:ilvl="0" w:tplc="30A464D0">
      <w:start w:val="1"/>
      <w:numFmt w:val="lowerRoman"/>
      <w:lvlText w:val="(%1)"/>
      <w:lvlJc w:val="left"/>
      <w:pPr>
        <w:ind w:left="1180" w:hanging="720"/>
      </w:pPr>
      <w:rPr>
        <w:rFonts w:hint="default"/>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0A2C7528"/>
    <w:multiLevelType w:val="hybridMultilevel"/>
    <w:tmpl w:val="A3100ED6"/>
    <w:lvl w:ilvl="0" w:tplc="0409001B">
      <w:start w:val="1"/>
      <w:numFmt w:val="lowerRoman"/>
      <w:lvlText w:val="%1."/>
      <w:lvlJc w:val="right"/>
      <w:pPr>
        <w:ind w:left="900"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6" w15:restartNumberingAfterBreak="0">
    <w:nsid w:val="0A534B1E"/>
    <w:multiLevelType w:val="hybridMultilevel"/>
    <w:tmpl w:val="FBDE021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0AF0478F"/>
    <w:multiLevelType w:val="hybridMultilevel"/>
    <w:tmpl w:val="1BF29454"/>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0B102528"/>
    <w:multiLevelType w:val="hybridMultilevel"/>
    <w:tmpl w:val="F98048D2"/>
    <w:lvl w:ilvl="0" w:tplc="0ECE30AC">
      <w:start w:val="1"/>
      <w:numFmt w:val="decimal"/>
      <w:lvlText w:val="%1."/>
      <w:lvlJc w:val="left"/>
      <w:pPr>
        <w:ind w:left="1008" w:hanging="360"/>
      </w:pPr>
      <w:rPr>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0E5343C1"/>
    <w:multiLevelType w:val="hybridMultilevel"/>
    <w:tmpl w:val="EF726DDC"/>
    <w:lvl w:ilvl="0" w:tplc="0409001B">
      <w:start w:val="1"/>
      <w:numFmt w:val="lowerRoman"/>
      <w:lvlText w:val="%1."/>
      <w:lvlJc w:val="right"/>
      <w:pPr>
        <w:ind w:left="824" w:hanging="360"/>
      </w:pPr>
      <w:rPr>
        <w:rFonts w:hint="default"/>
        <w:b/>
        <w:bCs/>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0" w15:restartNumberingAfterBreak="0">
    <w:nsid w:val="10344539"/>
    <w:multiLevelType w:val="hybridMultilevel"/>
    <w:tmpl w:val="BA3644BC"/>
    <w:lvl w:ilvl="0" w:tplc="3CD2B43C">
      <w:start w:val="1"/>
      <w:numFmt w:val="decimal"/>
      <w:lvlText w:val="%1."/>
      <w:lvlJc w:val="left"/>
      <w:pPr>
        <w:ind w:left="864" w:hanging="360"/>
      </w:pPr>
      <w:rPr>
        <w:b/>
        <w:bCs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12050E27"/>
    <w:multiLevelType w:val="hybridMultilevel"/>
    <w:tmpl w:val="AEB04A08"/>
    <w:lvl w:ilvl="0" w:tplc="A294956E">
      <w:start w:val="1"/>
      <w:numFmt w:val="lowerRoman"/>
      <w:lvlText w:val="%1."/>
      <w:lvlJc w:val="right"/>
      <w:pPr>
        <w:ind w:left="820" w:hanging="360"/>
      </w:pPr>
      <w:rPr>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12336E3F"/>
    <w:multiLevelType w:val="hybridMultilevel"/>
    <w:tmpl w:val="48BA78D0"/>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125C05FC"/>
    <w:multiLevelType w:val="hybridMultilevel"/>
    <w:tmpl w:val="AA68F572"/>
    <w:lvl w:ilvl="0" w:tplc="0F660C5C">
      <w:start w:val="1"/>
      <w:numFmt w:val="upp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4" w15:restartNumberingAfterBreak="0">
    <w:nsid w:val="128D66DC"/>
    <w:multiLevelType w:val="hybridMultilevel"/>
    <w:tmpl w:val="BC769912"/>
    <w:lvl w:ilvl="0" w:tplc="F4D43256">
      <w:start w:val="1"/>
      <w:numFmt w:val="lowerRoman"/>
      <w:lvlText w:val="%1."/>
      <w:lvlJc w:val="right"/>
      <w:pPr>
        <w:ind w:left="820" w:hanging="360"/>
      </w:pPr>
      <w:rPr>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12B8597F"/>
    <w:multiLevelType w:val="hybridMultilevel"/>
    <w:tmpl w:val="970E65F6"/>
    <w:lvl w:ilvl="0" w:tplc="015EB6D4">
      <w:start w:val="1"/>
      <w:numFmt w:val="decimal"/>
      <w:lvlText w:val="%1."/>
      <w:lvlJc w:val="left"/>
      <w:pPr>
        <w:ind w:left="360" w:hanging="360"/>
      </w:pPr>
      <w:rPr>
        <w:b/>
        <w:bCs w:val="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13054D06"/>
    <w:multiLevelType w:val="hybridMultilevel"/>
    <w:tmpl w:val="BB8093AA"/>
    <w:lvl w:ilvl="0" w:tplc="89FC0A52">
      <w:start w:val="1"/>
      <w:numFmt w:val="decimal"/>
      <w:lvlText w:val="%1."/>
      <w:lvlJc w:val="left"/>
      <w:pPr>
        <w:ind w:left="720" w:hanging="360"/>
      </w:pPr>
      <w:rPr>
        <w:b/>
        <w:bCs w:val="0"/>
      </w:rPr>
    </w:lvl>
    <w:lvl w:ilvl="1" w:tplc="35902BF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FF4341"/>
    <w:multiLevelType w:val="hybridMultilevel"/>
    <w:tmpl w:val="44025150"/>
    <w:lvl w:ilvl="0" w:tplc="015EB6D4">
      <w:start w:val="1"/>
      <w:numFmt w:val="decimal"/>
      <w:lvlText w:val="%1."/>
      <w:lvlJc w:val="left"/>
      <w:pPr>
        <w:ind w:left="720" w:hanging="360"/>
      </w:pPr>
      <w:rPr>
        <w:b/>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49F561C"/>
    <w:multiLevelType w:val="hybridMultilevel"/>
    <w:tmpl w:val="961AF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D43E72"/>
    <w:multiLevelType w:val="hybridMultilevel"/>
    <w:tmpl w:val="05700864"/>
    <w:lvl w:ilvl="0" w:tplc="25EC5C8A">
      <w:start w:val="1"/>
      <w:numFmt w:val="lowerRoman"/>
      <w:lvlText w:val="%1."/>
      <w:lvlJc w:val="right"/>
      <w:pPr>
        <w:ind w:left="1296" w:hanging="360"/>
      </w:pPr>
      <w:rPr>
        <w:b/>
        <w:bCs/>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18F81C91"/>
    <w:multiLevelType w:val="hybridMultilevel"/>
    <w:tmpl w:val="1846B754"/>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1BCC2208"/>
    <w:multiLevelType w:val="hybridMultilevel"/>
    <w:tmpl w:val="970E65F6"/>
    <w:lvl w:ilvl="0" w:tplc="015EB6D4">
      <w:start w:val="1"/>
      <w:numFmt w:val="decimal"/>
      <w:lvlText w:val="%1."/>
      <w:lvlJc w:val="left"/>
      <w:pPr>
        <w:ind w:left="360" w:hanging="360"/>
      </w:pPr>
      <w:rPr>
        <w:b/>
        <w:bCs w:val="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1BCC2863"/>
    <w:multiLevelType w:val="hybridMultilevel"/>
    <w:tmpl w:val="451C8E5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1CFB77F4"/>
    <w:multiLevelType w:val="hybridMultilevel"/>
    <w:tmpl w:val="5DB09BD0"/>
    <w:lvl w:ilvl="0" w:tplc="0409001B">
      <w:start w:val="1"/>
      <w:numFmt w:val="lowerRoman"/>
      <w:lvlText w:val="%1."/>
      <w:lvlJc w:val="right"/>
      <w:pPr>
        <w:ind w:left="821" w:hanging="360"/>
      </w:pPr>
      <w:rPr>
        <w:rFonts w:hint="default"/>
        <w:b/>
        <w:bCs/>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4" w15:restartNumberingAfterBreak="0">
    <w:nsid w:val="1D993CA2"/>
    <w:multiLevelType w:val="hybridMultilevel"/>
    <w:tmpl w:val="31C0FBA8"/>
    <w:lvl w:ilvl="0" w:tplc="F154DBF0">
      <w:start w:val="1"/>
      <w:numFmt w:val="decimal"/>
      <w:lvlText w:val="%1."/>
      <w:lvlJc w:val="left"/>
      <w:pPr>
        <w:ind w:left="464" w:hanging="360"/>
      </w:pPr>
      <w:rPr>
        <w:rFonts w:hint="default"/>
        <w:b/>
        <w:bCs w:val="0"/>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25" w15:restartNumberingAfterBreak="0">
    <w:nsid w:val="1E665698"/>
    <w:multiLevelType w:val="hybridMultilevel"/>
    <w:tmpl w:val="80F2492E"/>
    <w:lvl w:ilvl="0" w:tplc="0409001B">
      <w:start w:val="1"/>
      <w:numFmt w:val="lowerRoman"/>
      <w:lvlText w:val="%1."/>
      <w:lvlJc w:val="right"/>
      <w:pPr>
        <w:ind w:left="824" w:hanging="360"/>
      </w:pPr>
      <w:rPr>
        <w:b/>
        <w:bCs/>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6" w15:restartNumberingAfterBreak="0">
    <w:nsid w:val="1EE55F7A"/>
    <w:multiLevelType w:val="hybridMultilevel"/>
    <w:tmpl w:val="10CCCA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4831BB"/>
    <w:multiLevelType w:val="hybridMultilevel"/>
    <w:tmpl w:val="25EA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914385"/>
    <w:multiLevelType w:val="hybridMultilevel"/>
    <w:tmpl w:val="06309868"/>
    <w:lvl w:ilvl="0" w:tplc="37AC26F4">
      <w:start w:val="1"/>
      <w:numFmt w:val="lowerRoman"/>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9" w15:restartNumberingAfterBreak="0">
    <w:nsid w:val="20A04A70"/>
    <w:multiLevelType w:val="hybridMultilevel"/>
    <w:tmpl w:val="BA946F84"/>
    <w:lvl w:ilvl="0" w:tplc="0409001B">
      <w:start w:val="1"/>
      <w:numFmt w:val="lowerRoman"/>
      <w:lvlText w:val="%1."/>
      <w:lvlJc w:val="right"/>
      <w:pPr>
        <w:ind w:left="820" w:hanging="360"/>
      </w:pPr>
      <w:rPr>
        <w:rFonts w:hint="default"/>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21F562D3"/>
    <w:multiLevelType w:val="hybridMultilevel"/>
    <w:tmpl w:val="F6688F66"/>
    <w:lvl w:ilvl="0" w:tplc="0409001B">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3040CC"/>
    <w:multiLevelType w:val="hybridMultilevel"/>
    <w:tmpl w:val="F7AE7DFC"/>
    <w:lvl w:ilvl="0" w:tplc="CBCE14E0">
      <w:start w:val="1"/>
      <w:numFmt w:val="decimal"/>
      <w:lvlText w:val="%1."/>
      <w:lvlJc w:val="left"/>
      <w:pPr>
        <w:ind w:left="864" w:hanging="360"/>
      </w:pPr>
      <w:rPr>
        <w:b/>
        <w:bCs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2" w15:restartNumberingAfterBreak="0">
    <w:nsid w:val="22B0727D"/>
    <w:multiLevelType w:val="hybridMultilevel"/>
    <w:tmpl w:val="E7E6E1E4"/>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15:restartNumberingAfterBreak="0">
    <w:nsid w:val="22E025D2"/>
    <w:multiLevelType w:val="hybridMultilevel"/>
    <w:tmpl w:val="63FAD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160065"/>
    <w:multiLevelType w:val="hybridMultilevel"/>
    <w:tmpl w:val="D3A86B88"/>
    <w:lvl w:ilvl="0" w:tplc="ADBE05AE">
      <w:start w:val="1"/>
      <w:numFmt w:val="upperLetter"/>
      <w:lvlText w:val="%1."/>
      <w:lvlJc w:val="left"/>
      <w:pPr>
        <w:ind w:left="1152" w:hanging="360"/>
      </w:pPr>
      <w:rPr>
        <w:b/>
        <w:bCs/>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25A260D9"/>
    <w:multiLevelType w:val="hybridMultilevel"/>
    <w:tmpl w:val="46464EFA"/>
    <w:lvl w:ilvl="0" w:tplc="1A98B964">
      <w:start w:val="1"/>
      <w:numFmt w:val="decimal"/>
      <w:lvlText w:val="%1."/>
      <w:lvlJc w:val="left"/>
      <w:pPr>
        <w:ind w:left="822" w:hanging="360"/>
      </w:pPr>
      <w:rPr>
        <w:b/>
        <w:bCs/>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6" w15:restartNumberingAfterBreak="0">
    <w:nsid w:val="2664016C"/>
    <w:multiLevelType w:val="hybridMultilevel"/>
    <w:tmpl w:val="63AA0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E30184"/>
    <w:multiLevelType w:val="hybridMultilevel"/>
    <w:tmpl w:val="CBAC0318"/>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8" w15:restartNumberingAfterBreak="0">
    <w:nsid w:val="2C852396"/>
    <w:multiLevelType w:val="hybridMultilevel"/>
    <w:tmpl w:val="DF2C3986"/>
    <w:lvl w:ilvl="0" w:tplc="0409001B">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0C4AD9"/>
    <w:multiLevelType w:val="hybridMultilevel"/>
    <w:tmpl w:val="941CA2FE"/>
    <w:lvl w:ilvl="0" w:tplc="518CC6C2">
      <w:start w:val="1"/>
      <w:numFmt w:val="lowerRoman"/>
      <w:lvlText w:val="%1."/>
      <w:lvlJc w:val="left"/>
      <w:pPr>
        <w:ind w:left="1080" w:hanging="360"/>
      </w:pPr>
      <w:rPr>
        <w:rFonts w:ascii="Calibri" w:eastAsia="Calibri" w:hAnsi="Calibri" w:cs="Calibri" w:hint="default"/>
        <w:b/>
        <w:bCs/>
        <w:i w:val="0"/>
        <w:iCs w:val="0"/>
        <w:spacing w:val="-1"/>
        <w:w w:val="92"/>
        <w:sz w:val="18"/>
        <w:szCs w:val="18"/>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1107122"/>
    <w:multiLevelType w:val="hybridMultilevel"/>
    <w:tmpl w:val="43300C70"/>
    <w:lvl w:ilvl="0" w:tplc="7E74CA80">
      <w:start w:val="1"/>
      <w:numFmt w:val="decimal"/>
      <w:lvlText w:val="%1."/>
      <w:lvlJc w:val="left"/>
      <w:pPr>
        <w:ind w:left="63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2121550"/>
    <w:multiLevelType w:val="hybridMultilevel"/>
    <w:tmpl w:val="DAA0DF3C"/>
    <w:lvl w:ilvl="0" w:tplc="86C82C86">
      <w:start w:val="1"/>
      <w:numFmt w:val="lowerLetter"/>
      <w:lvlText w:val="%1)"/>
      <w:lvlJc w:val="left"/>
      <w:pPr>
        <w:ind w:left="820" w:hanging="360"/>
      </w:pPr>
      <w:rPr>
        <w:rFonts w:hint="default"/>
        <w:b/>
        <w:bCs/>
        <w:color w:val="auto"/>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2" w15:restartNumberingAfterBreak="0">
    <w:nsid w:val="33266AB5"/>
    <w:multiLevelType w:val="hybridMultilevel"/>
    <w:tmpl w:val="970E65F6"/>
    <w:lvl w:ilvl="0" w:tplc="015EB6D4">
      <w:start w:val="1"/>
      <w:numFmt w:val="decimal"/>
      <w:lvlText w:val="%1."/>
      <w:lvlJc w:val="left"/>
      <w:pPr>
        <w:ind w:left="360" w:hanging="360"/>
      </w:pPr>
      <w:rPr>
        <w:b/>
        <w:bCs w:val="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33AB606C"/>
    <w:multiLevelType w:val="hybridMultilevel"/>
    <w:tmpl w:val="90569C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4112E1A"/>
    <w:multiLevelType w:val="hybridMultilevel"/>
    <w:tmpl w:val="CCE4F620"/>
    <w:lvl w:ilvl="0" w:tplc="D960E1E2">
      <w:start w:val="9"/>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410B30"/>
    <w:multiLevelType w:val="hybridMultilevel"/>
    <w:tmpl w:val="CCE05288"/>
    <w:lvl w:ilvl="0" w:tplc="214A662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6" w15:restartNumberingAfterBreak="0">
    <w:nsid w:val="36DC620B"/>
    <w:multiLevelType w:val="hybridMultilevel"/>
    <w:tmpl w:val="1550D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9D451D"/>
    <w:multiLevelType w:val="hybridMultilevel"/>
    <w:tmpl w:val="CFDA66B4"/>
    <w:lvl w:ilvl="0" w:tplc="25BADAE4">
      <w:start w:val="1"/>
      <w:numFmt w:val="decimal"/>
      <w:lvlText w:val="%1."/>
      <w:lvlJc w:val="left"/>
      <w:pPr>
        <w:ind w:left="630" w:hanging="360"/>
      </w:pPr>
      <w:rPr>
        <w:rFonts w:hint="default"/>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382650C5"/>
    <w:multiLevelType w:val="hybridMultilevel"/>
    <w:tmpl w:val="BF88756C"/>
    <w:lvl w:ilvl="0" w:tplc="0409001B">
      <w:start w:val="1"/>
      <w:numFmt w:val="lowerRoman"/>
      <w:lvlText w:val="%1."/>
      <w:lvlJc w:val="right"/>
      <w:pPr>
        <w:ind w:left="819" w:hanging="360"/>
      </w:pPr>
      <w:rPr>
        <w:rFonts w:hint="default"/>
        <w:b/>
        <w:bCs/>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9" w15:restartNumberingAfterBreak="0">
    <w:nsid w:val="38FB33C0"/>
    <w:multiLevelType w:val="hybridMultilevel"/>
    <w:tmpl w:val="32148780"/>
    <w:lvl w:ilvl="0" w:tplc="04090017">
      <w:start w:val="1"/>
      <w:numFmt w:val="low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0" w15:restartNumberingAfterBreak="0">
    <w:nsid w:val="3B8C268A"/>
    <w:multiLevelType w:val="hybridMultilevel"/>
    <w:tmpl w:val="6A48C8EE"/>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1" w15:restartNumberingAfterBreak="0">
    <w:nsid w:val="3C722B6D"/>
    <w:multiLevelType w:val="hybridMultilevel"/>
    <w:tmpl w:val="C3808F88"/>
    <w:lvl w:ilvl="0" w:tplc="0409001B">
      <w:start w:val="1"/>
      <w:numFmt w:val="lowerRoman"/>
      <w:lvlText w:val="%1."/>
      <w:lvlJc w:val="right"/>
      <w:pPr>
        <w:ind w:left="824" w:hanging="360"/>
      </w:pPr>
      <w:rPr>
        <w:b/>
        <w:bCs/>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52" w15:restartNumberingAfterBreak="0">
    <w:nsid w:val="3CF9673F"/>
    <w:multiLevelType w:val="hybridMultilevel"/>
    <w:tmpl w:val="2F427A0A"/>
    <w:lvl w:ilvl="0" w:tplc="0409001B">
      <w:start w:val="1"/>
      <w:numFmt w:val="lowerRoman"/>
      <w:lvlText w:val="%1."/>
      <w:lvlJc w:val="right"/>
      <w:pPr>
        <w:ind w:left="824" w:hanging="360"/>
      </w:pPr>
      <w:rPr>
        <w:rFonts w:hint="default"/>
        <w:b/>
        <w:bCs/>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53" w15:restartNumberingAfterBreak="0">
    <w:nsid w:val="3E5924F5"/>
    <w:multiLevelType w:val="hybridMultilevel"/>
    <w:tmpl w:val="FFC83C3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4" w15:restartNumberingAfterBreak="0">
    <w:nsid w:val="3EB269EA"/>
    <w:multiLevelType w:val="hybridMultilevel"/>
    <w:tmpl w:val="29540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5" w15:restartNumberingAfterBreak="0">
    <w:nsid w:val="40083544"/>
    <w:multiLevelType w:val="hybridMultilevel"/>
    <w:tmpl w:val="64C8DC98"/>
    <w:lvl w:ilvl="0" w:tplc="B0040A10">
      <w:start w:val="1"/>
      <w:numFmt w:val="upperLetter"/>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6" w15:restartNumberingAfterBreak="0">
    <w:nsid w:val="4515084E"/>
    <w:multiLevelType w:val="hybridMultilevel"/>
    <w:tmpl w:val="970E65F6"/>
    <w:lvl w:ilvl="0" w:tplc="015EB6D4">
      <w:start w:val="1"/>
      <w:numFmt w:val="decimal"/>
      <w:lvlText w:val="%1."/>
      <w:lvlJc w:val="left"/>
      <w:pPr>
        <w:ind w:left="360" w:hanging="360"/>
      </w:pPr>
      <w:rPr>
        <w:b/>
        <w:bCs w:val="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7" w15:restartNumberingAfterBreak="0">
    <w:nsid w:val="469D4944"/>
    <w:multiLevelType w:val="hybridMultilevel"/>
    <w:tmpl w:val="1982F9A4"/>
    <w:lvl w:ilvl="0" w:tplc="0409001B">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8141D6"/>
    <w:multiLevelType w:val="hybridMultilevel"/>
    <w:tmpl w:val="F6E661BA"/>
    <w:lvl w:ilvl="0" w:tplc="0409001B">
      <w:start w:val="1"/>
      <w:numFmt w:val="lowerRoman"/>
      <w:lvlText w:val="%1."/>
      <w:lvlJc w:val="right"/>
      <w:pPr>
        <w:ind w:left="864" w:hanging="360"/>
      </w:pPr>
      <w:rPr>
        <w:rFonts w:hint="default"/>
        <w:b/>
        <w:bCs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9" w15:restartNumberingAfterBreak="0">
    <w:nsid w:val="49201E59"/>
    <w:multiLevelType w:val="hybridMultilevel"/>
    <w:tmpl w:val="A874002A"/>
    <w:lvl w:ilvl="0" w:tplc="04090015">
      <w:start w:val="1"/>
      <w:numFmt w:val="upperLetter"/>
      <w:lvlText w:val="%1."/>
      <w:lvlJc w:val="left"/>
      <w:pPr>
        <w:ind w:left="853" w:hanging="360"/>
      </w:p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60" w15:restartNumberingAfterBreak="0">
    <w:nsid w:val="4B8210DA"/>
    <w:multiLevelType w:val="hybridMultilevel"/>
    <w:tmpl w:val="970E65F6"/>
    <w:lvl w:ilvl="0" w:tplc="015EB6D4">
      <w:start w:val="1"/>
      <w:numFmt w:val="decimal"/>
      <w:lvlText w:val="%1."/>
      <w:lvlJc w:val="left"/>
      <w:pPr>
        <w:ind w:left="720" w:hanging="360"/>
      </w:pPr>
      <w:rPr>
        <w:b/>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DE5168E"/>
    <w:multiLevelType w:val="hybridMultilevel"/>
    <w:tmpl w:val="03C01CD2"/>
    <w:lvl w:ilvl="0" w:tplc="A81A85B6">
      <w:start w:val="1"/>
      <w:numFmt w:val="upp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62" w15:restartNumberingAfterBreak="0">
    <w:nsid w:val="4F500129"/>
    <w:multiLevelType w:val="hybridMultilevel"/>
    <w:tmpl w:val="79729C16"/>
    <w:lvl w:ilvl="0" w:tplc="7D628D14">
      <w:start w:val="1"/>
      <w:numFmt w:val="lowerRoman"/>
      <w:lvlText w:val="%1."/>
      <w:lvlJc w:val="right"/>
      <w:pPr>
        <w:ind w:left="1008" w:hanging="360"/>
      </w:pPr>
      <w:rPr>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3" w15:restartNumberingAfterBreak="0">
    <w:nsid w:val="4FED03C9"/>
    <w:multiLevelType w:val="hybridMultilevel"/>
    <w:tmpl w:val="CF62786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4" w15:restartNumberingAfterBreak="0">
    <w:nsid w:val="51EC21E7"/>
    <w:multiLevelType w:val="hybridMultilevel"/>
    <w:tmpl w:val="863071EE"/>
    <w:lvl w:ilvl="0" w:tplc="25BADAE4">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1D7273"/>
    <w:multiLevelType w:val="hybridMultilevel"/>
    <w:tmpl w:val="D92ABFD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6" w15:restartNumberingAfterBreak="0">
    <w:nsid w:val="52485D5D"/>
    <w:multiLevelType w:val="hybridMultilevel"/>
    <w:tmpl w:val="09CC59C6"/>
    <w:lvl w:ilvl="0" w:tplc="5548154A">
      <w:start w:val="1"/>
      <w:numFmt w:val="lowerLetter"/>
      <w:lvlText w:val="%1."/>
      <w:lvlJc w:val="left"/>
      <w:pPr>
        <w:ind w:left="820" w:hanging="360"/>
      </w:pPr>
      <w:rPr>
        <w:rFonts w:hint="default"/>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7" w15:restartNumberingAfterBreak="0">
    <w:nsid w:val="52537AF7"/>
    <w:multiLevelType w:val="hybridMultilevel"/>
    <w:tmpl w:val="5F800AB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8" w15:restartNumberingAfterBreak="0">
    <w:nsid w:val="546021AC"/>
    <w:multiLevelType w:val="hybridMultilevel"/>
    <w:tmpl w:val="F5F8DA56"/>
    <w:lvl w:ilvl="0" w:tplc="E340A1F6">
      <w:start w:val="1"/>
      <w:numFmt w:val="low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69" w15:restartNumberingAfterBreak="0">
    <w:nsid w:val="557A0384"/>
    <w:multiLevelType w:val="hybridMultilevel"/>
    <w:tmpl w:val="058052C2"/>
    <w:lvl w:ilvl="0" w:tplc="0409001B">
      <w:start w:val="1"/>
      <w:numFmt w:val="lowerRoman"/>
      <w:lvlText w:val="%1."/>
      <w:lvlJc w:val="right"/>
      <w:pPr>
        <w:ind w:left="864" w:hanging="360"/>
      </w:pPr>
      <w:rPr>
        <w:rFonts w:hint="default"/>
        <w:b/>
        <w:bCs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0" w15:restartNumberingAfterBreak="0">
    <w:nsid w:val="562769F8"/>
    <w:multiLevelType w:val="hybridMultilevel"/>
    <w:tmpl w:val="E7BA7642"/>
    <w:lvl w:ilvl="0" w:tplc="61243B76">
      <w:start w:val="1"/>
      <w:numFmt w:val="decimal"/>
      <w:lvlText w:val="%1."/>
      <w:lvlJc w:val="left"/>
      <w:pPr>
        <w:ind w:left="464" w:hanging="360"/>
      </w:pPr>
      <w:rPr>
        <w:rFonts w:hint="default"/>
        <w:b/>
        <w:bCs w:val="0"/>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71" w15:restartNumberingAfterBreak="0">
    <w:nsid w:val="5682751C"/>
    <w:multiLevelType w:val="hybridMultilevel"/>
    <w:tmpl w:val="2CECC92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2" w15:restartNumberingAfterBreak="0">
    <w:nsid w:val="58A0423B"/>
    <w:multiLevelType w:val="hybridMultilevel"/>
    <w:tmpl w:val="1722B2CC"/>
    <w:lvl w:ilvl="0" w:tplc="C49C31DE">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C41D48"/>
    <w:multiLevelType w:val="hybridMultilevel"/>
    <w:tmpl w:val="DEB8C482"/>
    <w:lvl w:ilvl="0" w:tplc="2F2E460C">
      <w:start w:val="1"/>
      <w:numFmt w:val="lowerRoman"/>
      <w:lvlText w:val="%1."/>
      <w:lvlJc w:val="right"/>
      <w:pPr>
        <w:ind w:left="1296" w:hanging="360"/>
      </w:pPr>
      <w:rPr>
        <w:b/>
        <w:bCs/>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4" w15:restartNumberingAfterBreak="0">
    <w:nsid w:val="596536F9"/>
    <w:multiLevelType w:val="hybridMultilevel"/>
    <w:tmpl w:val="9B688E34"/>
    <w:lvl w:ilvl="0" w:tplc="00840398">
      <w:start w:val="1"/>
      <w:numFmt w:val="lowerLetter"/>
      <w:lvlText w:val="%1)"/>
      <w:lvlJc w:val="left"/>
      <w:pPr>
        <w:ind w:left="864" w:hanging="360"/>
      </w:pPr>
      <w:rPr>
        <w:b/>
        <w:bCs/>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5" w15:restartNumberingAfterBreak="0">
    <w:nsid w:val="5A2E68D5"/>
    <w:multiLevelType w:val="hybridMultilevel"/>
    <w:tmpl w:val="96BC1DE6"/>
    <w:lvl w:ilvl="0" w:tplc="4E6841FC">
      <w:start w:val="1"/>
      <w:numFmt w:val="decimal"/>
      <w:lvlText w:val="%1."/>
      <w:lvlJc w:val="left"/>
      <w:pPr>
        <w:ind w:left="819" w:hanging="360"/>
      </w:pPr>
      <w:rPr>
        <w:b/>
        <w:bCs/>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76" w15:restartNumberingAfterBreak="0">
    <w:nsid w:val="5A9F4B61"/>
    <w:multiLevelType w:val="hybridMultilevel"/>
    <w:tmpl w:val="F59CF5A6"/>
    <w:lvl w:ilvl="0" w:tplc="0409001B">
      <w:start w:val="1"/>
      <w:numFmt w:val="lowerRoman"/>
      <w:lvlText w:val="%1."/>
      <w:lvlJc w:val="right"/>
      <w:pPr>
        <w:ind w:left="820" w:hanging="360"/>
      </w:pPr>
      <w:rPr>
        <w:rFonts w:hint="default"/>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7" w15:restartNumberingAfterBreak="0">
    <w:nsid w:val="5AD443E1"/>
    <w:multiLevelType w:val="hybridMultilevel"/>
    <w:tmpl w:val="8F76415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8" w15:restartNumberingAfterBreak="0">
    <w:nsid w:val="5BA50AAA"/>
    <w:multiLevelType w:val="hybridMultilevel"/>
    <w:tmpl w:val="7D6653E0"/>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9" w15:restartNumberingAfterBreak="0">
    <w:nsid w:val="5C184B53"/>
    <w:multiLevelType w:val="hybridMultilevel"/>
    <w:tmpl w:val="0CA2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C601D08"/>
    <w:multiLevelType w:val="hybridMultilevel"/>
    <w:tmpl w:val="970E65F6"/>
    <w:lvl w:ilvl="0" w:tplc="015EB6D4">
      <w:start w:val="1"/>
      <w:numFmt w:val="decimal"/>
      <w:lvlText w:val="%1."/>
      <w:lvlJc w:val="left"/>
      <w:pPr>
        <w:ind w:left="360" w:hanging="360"/>
      </w:pPr>
      <w:rPr>
        <w:b/>
        <w:bCs w:val="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1" w15:restartNumberingAfterBreak="0">
    <w:nsid w:val="5D943FD6"/>
    <w:multiLevelType w:val="hybridMultilevel"/>
    <w:tmpl w:val="884C35FE"/>
    <w:lvl w:ilvl="0" w:tplc="25BADAE4">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DE016BF"/>
    <w:multiLevelType w:val="hybridMultilevel"/>
    <w:tmpl w:val="E1F61540"/>
    <w:lvl w:ilvl="0" w:tplc="8A38FFEC">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E1A6524"/>
    <w:multiLevelType w:val="hybridMultilevel"/>
    <w:tmpl w:val="B13A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E471195"/>
    <w:multiLevelType w:val="hybridMultilevel"/>
    <w:tmpl w:val="ED70651E"/>
    <w:lvl w:ilvl="0" w:tplc="CABAE3E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5" w15:restartNumberingAfterBreak="0">
    <w:nsid w:val="60C667BB"/>
    <w:multiLevelType w:val="hybridMultilevel"/>
    <w:tmpl w:val="8A6852C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6" w15:restartNumberingAfterBreak="0">
    <w:nsid w:val="61815FD6"/>
    <w:multiLevelType w:val="hybridMultilevel"/>
    <w:tmpl w:val="A36876E4"/>
    <w:lvl w:ilvl="0" w:tplc="0409001B">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28976D5"/>
    <w:multiLevelType w:val="hybridMultilevel"/>
    <w:tmpl w:val="3CE81C5E"/>
    <w:lvl w:ilvl="0" w:tplc="0409001B">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593780A"/>
    <w:multiLevelType w:val="hybridMultilevel"/>
    <w:tmpl w:val="A26EC388"/>
    <w:lvl w:ilvl="0" w:tplc="0DA24580">
      <w:start w:val="2"/>
      <w:numFmt w:val="lowerLetter"/>
      <w:lvlText w:val="(%1)"/>
      <w:lvlJc w:val="left"/>
      <w:pPr>
        <w:ind w:left="864" w:hanging="360"/>
      </w:pPr>
      <w:rPr>
        <w:rFonts w:ascii="Calibri" w:eastAsia="Calibri" w:hAnsi="Calibri" w:cs="Calibri" w:hint="default"/>
        <w:b/>
        <w:bCs/>
        <w:i w:val="0"/>
        <w:iCs w:val="0"/>
        <w:spacing w:val="-1"/>
        <w:w w:val="100"/>
        <w:sz w:val="18"/>
        <w:szCs w:val="18"/>
        <w:lang w:val="en-US" w:eastAsia="en-US" w:bidi="ar-SA"/>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9" w15:restartNumberingAfterBreak="0">
    <w:nsid w:val="65AA6E22"/>
    <w:multiLevelType w:val="hybridMultilevel"/>
    <w:tmpl w:val="970E65F6"/>
    <w:lvl w:ilvl="0" w:tplc="015EB6D4">
      <w:start w:val="1"/>
      <w:numFmt w:val="decimal"/>
      <w:lvlText w:val="%1."/>
      <w:lvlJc w:val="left"/>
      <w:pPr>
        <w:ind w:left="360" w:hanging="360"/>
      </w:pPr>
      <w:rPr>
        <w:b/>
        <w:bCs w:val="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0" w15:restartNumberingAfterBreak="0">
    <w:nsid w:val="66855013"/>
    <w:multiLevelType w:val="hybridMultilevel"/>
    <w:tmpl w:val="CD189CBC"/>
    <w:lvl w:ilvl="0" w:tplc="5730330C">
      <w:start w:val="1"/>
      <w:numFmt w:val="decimal"/>
      <w:lvlText w:val="%1."/>
      <w:lvlJc w:val="left"/>
      <w:pPr>
        <w:ind w:left="630" w:hanging="360"/>
      </w:pPr>
      <w:rPr>
        <w:rFonts w:hint="default"/>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1" w15:restartNumberingAfterBreak="0">
    <w:nsid w:val="674B68EC"/>
    <w:multiLevelType w:val="hybridMultilevel"/>
    <w:tmpl w:val="3FF4EC44"/>
    <w:lvl w:ilvl="0" w:tplc="AF98EDF4">
      <w:start w:val="1"/>
      <w:numFmt w:val="lowerRoman"/>
      <w:lvlText w:val="%1."/>
      <w:lvlJc w:val="right"/>
      <w:pPr>
        <w:ind w:left="1008" w:hanging="360"/>
      </w:pPr>
      <w:rPr>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2" w15:restartNumberingAfterBreak="0">
    <w:nsid w:val="695F3FE2"/>
    <w:multiLevelType w:val="hybridMultilevel"/>
    <w:tmpl w:val="14B8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686E03"/>
    <w:multiLevelType w:val="hybridMultilevel"/>
    <w:tmpl w:val="57107A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F91098"/>
    <w:multiLevelType w:val="hybridMultilevel"/>
    <w:tmpl w:val="D2C0C62A"/>
    <w:lvl w:ilvl="0" w:tplc="C2C48190">
      <w:start w:val="1"/>
      <w:numFmt w:val="decimal"/>
      <w:lvlText w:val="%1."/>
      <w:lvlJc w:val="left"/>
      <w:pPr>
        <w:ind w:left="864" w:hanging="360"/>
      </w:pPr>
      <w:rPr>
        <w:rFonts w:hint="default"/>
        <w:b/>
        <w:bCs/>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5" w15:restartNumberingAfterBreak="0">
    <w:nsid w:val="6BF435AF"/>
    <w:multiLevelType w:val="hybridMultilevel"/>
    <w:tmpl w:val="7ADCBAEC"/>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6" w15:restartNumberingAfterBreak="0">
    <w:nsid w:val="6D477CF3"/>
    <w:multiLevelType w:val="hybridMultilevel"/>
    <w:tmpl w:val="866C745A"/>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7" w15:restartNumberingAfterBreak="0">
    <w:nsid w:val="6D494E90"/>
    <w:multiLevelType w:val="hybridMultilevel"/>
    <w:tmpl w:val="44D06A92"/>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8" w15:restartNumberingAfterBreak="0">
    <w:nsid w:val="6EBF660F"/>
    <w:multiLevelType w:val="hybridMultilevel"/>
    <w:tmpl w:val="C2723C2C"/>
    <w:lvl w:ilvl="0" w:tplc="E438DA18">
      <w:start w:val="4"/>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0A7795C"/>
    <w:multiLevelType w:val="hybridMultilevel"/>
    <w:tmpl w:val="A03C89EA"/>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0" w15:restartNumberingAfterBreak="0">
    <w:nsid w:val="719B22A4"/>
    <w:multiLevelType w:val="hybridMultilevel"/>
    <w:tmpl w:val="970E65F6"/>
    <w:lvl w:ilvl="0" w:tplc="015EB6D4">
      <w:start w:val="1"/>
      <w:numFmt w:val="decimal"/>
      <w:lvlText w:val="%1."/>
      <w:lvlJc w:val="left"/>
      <w:pPr>
        <w:ind w:left="360" w:hanging="360"/>
      </w:pPr>
      <w:rPr>
        <w:b/>
        <w:bCs w:val="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1" w15:restartNumberingAfterBreak="0">
    <w:nsid w:val="720E4454"/>
    <w:multiLevelType w:val="hybridMultilevel"/>
    <w:tmpl w:val="D8107B7E"/>
    <w:lvl w:ilvl="0" w:tplc="21785190">
      <w:start w:val="1"/>
      <w:numFmt w:val="lowerRoman"/>
      <w:lvlText w:val="%1."/>
      <w:lvlJc w:val="right"/>
      <w:pPr>
        <w:ind w:left="824" w:hanging="360"/>
      </w:pPr>
      <w:rPr>
        <w:b/>
        <w:bCs/>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02" w15:restartNumberingAfterBreak="0">
    <w:nsid w:val="733873BC"/>
    <w:multiLevelType w:val="hybridMultilevel"/>
    <w:tmpl w:val="D53E2478"/>
    <w:lvl w:ilvl="0" w:tplc="6C8499D6">
      <w:start w:val="1"/>
      <w:numFmt w:val="decimal"/>
      <w:lvlText w:val="%1."/>
      <w:lvlJc w:val="left"/>
      <w:pPr>
        <w:ind w:left="864" w:hanging="360"/>
      </w:pPr>
      <w:rPr>
        <w:rFonts w:hint="default"/>
        <w:b/>
        <w:bCs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3" w15:restartNumberingAfterBreak="0">
    <w:nsid w:val="744D7135"/>
    <w:multiLevelType w:val="hybridMultilevel"/>
    <w:tmpl w:val="A47A716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4" w15:restartNumberingAfterBreak="0">
    <w:nsid w:val="74872BA6"/>
    <w:multiLevelType w:val="hybridMultilevel"/>
    <w:tmpl w:val="8AB8577E"/>
    <w:lvl w:ilvl="0" w:tplc="03868D7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5A04BE2"/>
    <w:multiLevelType w:val="hybridMultilevel"/>
    <w:tmpl w:val="970E65F6"/>
    <w:lvl w:ilvl="0" w:tplc="015EB6D4">
      <w:start w:val="1"/>
      <w:numFmt w:val="decimal"/>
      <w:lvlText w:val="%1."/>
      <w:lvlJc w:val="left"/>
      <w:pPr>
        <w:ind w:left="360" w:hanging="360"/>
      </w:pPr>
      <w:rPr>
        <w:b/>
        <w:bCs w:val="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6" w15:restartNumberingAfterBreak="0">
    <w:nsid w:val="76236AB2"/>
    <w:multiLevelType w:val="hybridMultilevel"/>
    <w:tmpl w:val="C2CA536C"/>
    <w:lvl w:ilvl="0" w:tplc="E2709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78595E"/>
    <w:multiLevelType w:val="hybridMultilevel"/>
    <w:tmpl w:val="81C27630"/>
    <w:lvl w:ilvl="0" w:tplc="7FAEAE4E">
      <w:start w:val="1"/>
      <w:numFmt w:val="lowerRoman"/>
      <w:lvlText w:val="%1."/>
      <w:lvlJc w:val="left"/>
      <w:pPr>
        <w:ind w:left="720" w:hanging="360"/>
      </w:pPr>
      <w:rPr>
        <w:rFonts w:ascii="Calibri" w:eastAsia="Calibri" w:hAnsi="Calibri" w:cs="Calibri" w:hint="default"/>
        <w:b/>
        <w:bCs/>
        <w:i w:val="0"/>
        <w:iCs w:val="0"/>
        <w:spacing w:val="-1"/>
        <w:w w:val="92"/>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8C8702C"/>
    <w:multiLevelType w:val="hybridMultilevel"/>
    <w:tmpl w:val="47BE9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4479C8"/>
    <w:multiLevelType w:val="hybridMultilevel"/>
    <w:tmpl w:val="6344B18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0" w15:restartNumberingAfterBreak="0">
    <w:nsid w:val="7F1B764E"/>
    <w:multiLevelType w:val="hybridMultilevel"/>
    <w:tmpl w:val="04A4738E"/>
    <w:lvl w:ilvl="0" w:tplc="37AC26F4">
      <w:start w:val="1"/>
      <w:numFmt w:val="lowerRoman"/>
      <w:lvlText w:val="(%1)"/>
      <w:lvlJc w:val="left"/>
      <w:pPr>
        <w:ind w:left="820" w:hanging="360"/>
      </w:pPr>
      <w:rPr>
        <w:rFonts w:hint="default"/>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1" w15:restartNumberingAfterBreak="0">
    <w:nsid w:val="7F320192"/>
    <w:multiLevelType w:val="hybridMultilevel"/>
    <w:tmpl w:val="F1F6EDA6"/>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12" w15:restartNumberingAfterBreak="0">
    <w:nsid w:val="7F76214A"/>
    <w:multiLevelType w:val="hybridMultilevel"/>
    <w:tmpl w:val="ED9AC508"/>
    <w:lvl w:ilvl="0" w:tplc="7BBC722E">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17"/>
  </w:num>
  <w:num w:numId="3">
    <w:abstractNumId w:val="91"/>
  </w:num>
  <w:num w:numId="4">
    <w:abstractNumId w:val="68"/>
  </w:num>
  <w:num w:numId="5">
    <w:abstractNumId w:val="8"/>
  </w:num>
  <w:num w:numId="6">
    <w:abstractNumId w:val="98"/>
  </w:num>
  <w:num w:numId="7">
    <w:abstractNumId w:val="66"/>
  </w:num>
  <w:num w:numId="8">
    <w:abstractNumId w:val="41"/>
  </w:num>
  <w:num w:numId="9">
    <w:abstractNumId w:val="110"/>
  </w:num>
  <w:num w:numId="10">
    <w:abstractNumId w:val="76"/>
  </w:num>
  <w:num w:numId="11">
    <w:abstractNumId w:val="2"/>
  </w:num>
  <w:num w:numId="12">
    <w:abstractNumId w:val="102"/>
  </w:num>
  <w:num w:numId="13">
    <w:abstractNumId w:val="40"/>
  </w:num>
  <w:num w:numId="14">
    <w:abstractNumId w:val="64"/>
  </w:num>
  <w:num w:numId="15">
    <w:abstractNumId w:val="47"/>
  </w:num>
  <w:num w:numId="16">
    <w:abstractNumId w:val="90"/>
  </w:num>
  <w:num w:numId="17">
    <w:abstractNumId w:val="81"/>
  </w:num>
  <w:num w:numId="18">
    <w:abstractNumId w:val="112"/>
  </w:num>
  <w:num w:numId="19">
    <w:abstractNumId w:val="5"/>
  </w:num>
  <w:num w:numId="20">
    <w:abstractNumId w:val="88"/>
  </w:num>
  <w:num w:numId="21">
    <w:abstractNumId w:val="58"/>
  </w:num>
  <w:num w:numId="22">
    <w:abstractNumId w:val="69"/>
  </w:num>
  <w:num w:numId="23">
    <w:abstractNumId w:val="62"/>
  </w:num>
  <w:num w:numId="24">
    <w:abstractNumId w:val="73"/>
  </w:num>
  <w:num w:numId="25">
    <w:abstractNumId w:val="14"/>
  </w:num>
  <w:num w:numId="26">
    <w:abstractNumId w:val="11"/>
  </w:num>
  <w:num w:numId="27">
    <w:abstractNumId w:val="19"/>
  </w:num>
  <w:num w:numId="28">
    <w:abstractNumId w:val="1"/>
  </w:num>
  <w:num w:numId="29">
    <w:abstractNumId w:val="51"/>
  </w:num>
  <w:num w:numId="30">
    <w:abstractNumId w:val="101"/>
  </w:num>
  <w:num w:numId="31">
    <w:abstractNumId w:val="94"/>
  </w:num>
  <w:num w:numId="32">
    <w:abstractNumId w:val="86"/>
  </w:num>
  <w:num w:numId="33">
    <w:abstractNumId w:val="48"/>
  </w:num>
  <w:num w:numId="34">
    <w:abstractNumId w:val="104"/>
  </w:num>
  <w:num w:numId="35">
    <w:abstractNumId w:val="23"/>
  </w:num>
  <w:num w:numId="36">
    <w:abstractNumId w:val="106"/>
  </w:num>
  <w:num w:numId="37">
    <w:abstractNumId w:val="4"/>
  </w:num>
  <w:num w:numId="38">
    <w:abstractNumId w:val="34"/>
  </w:num>
  <w:num w:numId="39">
    <w:abstractNumId w:val="28"/>
  </w:num>
  <w:num w:numId="40">
    <w:abstractNumId w:val="35"/>
  </w:num>
  <w:num w:numId="41">
    <w:abstractNumId w:val="107"/>
  </w:num>
  <w:num w:numId="42">
    <w:abstractNumId w:val="44"/>
  </w:num>
  <w:num w:numId="43">
    <w:abstractNumId w:val="39"/>
  </w:num>
  <w:num w:numId="44">
    <w:abstractNumId w:val="92"/>
  </w:num>
  <w:num w:numId="45">
    <w:abstractNumId w:val="75"/>
  </w:num>
  <w:num w:numId="46">
    <w:abstractNumId w:val="49"/>
  </w:num>
  <w:num w:numId="47">
    <w:abstractNumId w:val="30"/>
  </w:num>
  <w:num w:numId="48">
    <w:abstractNumId w:val="78"/>
  </w:num>
  <w:num w:numId="49">
    <w:abstractNumId w:val="82"/>
  </w:num>
  <w:num w:numId="50">
    <w:abstractNumId w:val="57"/>
  </w:num>
  <w:num w:numId="51">
    <w:abstractNumId w:val="87"/>
  </w:num>
  <w:num w:numId="52">
    <w:abstractNumId w:val="95"/>
  </w:num>
  <w:num w:numId="53">
    <w:abstractNumId w:val="37"/>
  </w:num>
  <w:num w:numId="54">
    <w:abstractNumId w:val="12"/>
  </w:num>
  <w:num w:numId="55">
    <w:abstractNumId w:val="96"/>
  </w:num>
  <w:num w:numId="56">
    <w:abstractNumId w:val="97"/>
  </w:num>
  <w:num w:numId="57">
    <w:abstractNumId w:val="32"/>
  </w:num>
  <w:num w:numId="58">
    <w:abstractNumId w:val="50"/>
  </w:num>
  <w:num w:numId="59">
    <w:abstractNumId w:val="20"/>
  </w:num>
  <w:num w:numId="60">
    <w:abstractNumId w:val="9"/>
  </w:num>
  <w:num w:numId="61">
    <w:abstractNumId w:val="52"/>
  </w:num>
  <w:num w:numId="62">
    <w:abstractNumId w:val="7"/>
  </w:num>
  <w:num w:numId="63">
    <w:abstractNumId w:val="29"/>
  </w:num>
  <w:num w:numId="64">
    <w:abstractNumId w:val="99"/>
  </w:num>
  <w:num w:numId="65">
    <w:abstractNumId w:val="70"/>
  </w:num>
  <w:num w:numId="66">
    <w:abstractNumId w:val="24"/>
  </w:num>
  <w:num w:numId="67">
    <w:abstractNumId w:val="72"/>
  </w:num>
  <w:num w:numId="68">
    <w:abstractNumId w:val="43"/>
  </w:num>
  <w:num w:numId="69">
    <w:abstractNumId w:val="36"/>
  </w:num>
  <w:num w:numId="70">
    <w:abstractNumId w:val="33"/>
  </w:num>
  <w:num w:numId="71">
    <w:abstractNumId w:val="16"/>
  </w:num>
  <w:num w:numId="72">
    <w:abstractNumId w:val="111"/>
  </w:num>
  <w:num w:numId="73">
    <w:abstractNumId w:val="3"/>
  </w:num>
  <w:num w:numId="74">
    <w:abstractNumId w:val="74"/>
  </w:num>
  <w:num w:numId="75">
    <w:abstractNumId w:val="59"/>
  </w:num>
  <w:num w:numId="76">
    <w:abstractNumId w:val="108"/>
  </w:num>
  <w:num w:numId="77">
    <w:abstractNumId w:val="46"/>
  </w:num>
  <w:num w:numId="78">
    <w:abstractNumId w:val="79"/>
  </w:num>
  <w:num w:numId="79">
    <w:abstractNumId w:val="27"/>
  </w:num>
  <w:num w:numId="80">
    <w:abstractNumId w:val="18"/>
  </w:num>
  <w:num w:numId="81">
    <w:abstractNumId w:val="83"/>
  </w:num>
  <w:num w:numId="82">
    <w:abstractNumId w:val="77"/>
  </w:num>
  <w:num w:numId="83">
    <w:abstractNumId w:val="65"/>
  </w:num>
  <w:num w:numId="84">
    <w:abstractNumId w:val="10"/>
  </w:num>
  <w:num w:numId="85">
    <w:abstractNumId w:val="0"/>
  </w:num>
  <w:num w:numId="86">
    <w:abstractNumId w:val="13"/>
  </w:num>
  <w:num w:numId="87">
    <w:abstractNumId w:val="61"/>
  </w:num>
  <w:num w:numId="88">
    <w:abstractNumId w:val="31"/>
  </w:num>
  <w:num w:numId="89">
    <w:abstractNumId w:val="53"/>
  </w:num>
  <w:num w:numId="90">
    <w:abstractNumId w:val="54"/>
  </w:num>
  <w:num w:numId="91">
    <w:abstractNumId w:val="71"/>
  </w:num>
  <w:num w:numId="92">
    <w:abstractNumId w:val="22"/>
  </w:num>
  <w:num w:numId="93">
    <w:abstractNumId w:val="45"/>
  </w:num>
  <w:num w:numId="94">
    <w:abstractNumId w:val="67"/>
  </w:num>
  <w:num w:numId="95">
    <w:abstractNumId w:val="109"/>
  </w:num>
  <w:num w:numId="96">
    <w:abstractNumId w:val="103"/>
  </w:num>
  <w:num w:numId="97">
    <w:abstractNumId w:val="6"/>
  </w:num>
  <w:num w:numId="98">
    <w:abstractNumId w:val="63"/>
  </w:num>
  <w:num w:numId="99">
    <w:abstractNumId w:val="85"/>
  </w:num>
  <w:num w:numId="100">
    <w:abstractNumId w:val="93"/>
  </w:num>
  <w:num w:numId="101">
    <w:abstractNumId w:val="26"/>
  </w:num>
  <w:num w:numId="102">
    <w:abstractNumId w:val="38"/>
  </w:num>
  <w:num w:numId="103">
    <w:abstractNumId w:val="25"/>
  </w:num>
  <w:num w:numId="104">
    <w:abstractNumId w:val="84"/>
  </w:num>
  <w:num w:numId="105">
    <w:abstractNumId w:val="55"/>
  </w:num>
  <w:num w:numId="106">
    <w:abstractNumId w:val="105"/>
  </w:num>
  <w:num w:numId="107">
    <w:abstractNumId w:val="21"/>
  </w:num>
  <w:num w:numId="108">
    <w:abstractNumId w:val="56"/>
  </w:num>
  <w:num w:numId="109">
    <w:abstractNumId w:val="89"/>
  </w:num>
  <w:num w:numId="110">
    <w:abstractNumId w:val="42"/>
  </w:num>
  <w:num w:numId="111">
    <w:abstractNumId w:val="100"/>
  </w:num>
  <w:num w:numId="112">
    <w:abstractNumId w:val="80"/>
  </w:num>
  <w:num w:numId="113">
    <w:abstractNumId w:val="1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30B9"/>
    <w:rsid w:val="0000573E"/>
    <w:rsid w:val="00006278"/>
    <w:rsid w:val="0001376F"/>
    <w:rsid w:val="00015AB5"/>
    <w:rsid w:val="0002158E"/>
    <w:rsid w:val="000244FD"/>
    <w:rsid w:val="00044A3C"/>
    <w:rsid w:val="000574B8"/>
    <w:rsid w:val="00070590"/>
    <w:rsid w:val="000A2DB6"/>
    <w:rsid w:val="000A670A"/>
    <w:rsid w:val="000A6BDB"/>
    <w:rsid w:val="000A7755"/>
    <w:rsid w:val="000A7DE1"/>
    <w:rsid w:val="000B0CAD"/>
    <w:rsid w:val="000E099A"/>
    <w:rsid w:val="000E72F2"/>
    <w:rsid w:val="000F5171"/>
    <w:rsid w:val="001041F9"/>
    <w:rsid w:val="00104AD8"/>
    <w:rsid w:val="00111B10"/>
    <w:rsid w:val="001257D9"/>
    <w:rsid w:val="0013060C"/>
    <w:rsid w:val="00157E50"/>
    <w:rsid w:val="00163948"/>
    <w:rsid w:val="00171F2F"/>
    <w:rsid w:val="00176005"/>
    <w:rsid w:val="001778CC"/>
    <w:rsid w:val="001814D3"/>
    <w:rsid w:val="0018305F"/>
    <w:rsid w:val="00185A1A"/>
    <w:rsid w:val="00191A2A"/>
    <w:rsid w:val="001A6AC1"/>
    <w:rsid w:val="001D12E3"/>
    <w:rsid w:val="001D60B5"/>
    <w:rsid w:val="001F02F1"/>
    <w:rsid w:val="001F56DC"/>
    <w:rsid w:val="001F5E80"/>
    <w:rsid w:val="0020215C"/>
    <w:rsid w:val="00206A3A"/>
    <w:rsid w:val="00211DD3"/>
    <w:rsid w:val="002221CB"/>
    <w:rsid w:val="00224132"/>
    <w:rsid w:val="0025426C"/>
    <w:rsid w:val="00256EFC"/>
    <w:rsid w:val="002651DC"/>
    <w:rsid w:val="00271A0A"/>
    <w:rsid w:val="00283ABB"/>
    <w:rsid w:val="002B63A2"/>
    <w:rsid w:val="002E3F0A"/>
    <w:rsid w:val="002F0115"/>
    <w:rsid w:val="003170AE"/>
    <w:rsid w:val="00322C06"/>
    <w:rsid w:val="00325A60"/>
    <w:rsid w:val="00336A4C"/>
    <w:rsid w:val="003452C7"/>
    <w:rsid w:val="00345C09"/>
    <w:rsid w:val="003676A5"/>
    <w:rsid w:val="003745F0"/>
    <w:rsid w:val="0039289A"/>
    <w:rsid w:val="00392A25"/>
    <w:rsid w:val="003B39D2"/>
    <w:rsid w:val="003B6FE6"/>
    <w:rsid w:val="003D49AB"/>
    <w:rsid w:val="003E5E5A"/>
    <w:rsid w:val="003F3BDE"/>
    <w:rsid w:val="00401217"/>
    <w:rsid w:val="00414DC9"/>
    <w:rsid w:val="004234CD"/>
    <w:rsid w:val="004241ED"/>
    <w:rsid w:val="00444E6A"/>
    <w:rsid w:val="00452C71"/>
    <w:rsid w:val="00454136"/>
    <w:rsid w:val="00461D21"/>
    <w:rsid w:val="00465CE2"/>
    <w:rsid w:val="0048331D"/>
    <w:rsid w:val="004936B8"/>
    <w:rsid w:val="004B3312"/>
    <w:rsid w:val="004B7607"/>
    <w:rsid w:val="004C0D99"/>
    <w:rsid w:val="004C1019"/>
    <w:rsid w:val="004C26E3"/>
    <w:rsid w:val="004C592F"/>
    <w:rsid w:val="004D27C7"/>
    <w:rsid w:val="004D47A1"/>
    <w:rsid w:val="004F1CE6"/>
    <w:rsid w:val="004F2B74"/>
    <w:rsid w:val="0050232D"/>
    <w:rsid w:val="00504921"/>
    <w:rsid w:val="00517074"/>
    <w:rsid w:val="0054131D"/>
    <w:rsid w:val="00543102"/>
    <w:rsid w:val="0054529F"/>
    <w:rsid w:val="005533B1"/>
    <w:rsid w:val="00557108"/>
    <w:rsid w:val="005674E5"/>
    <w:rsid w:val="005748F4"/>
    <w:rsid w:val="00574B6C"/>
    <w:rsid w:val="00584365"/>
    <w:rsid w:val="005928A4"/>
    <w:rsid w:val="00594B21"/>
    <w:rsid w:val="005A16DE"/>
    <w:rsid w:val="005A3283"/>
    <w:rsid w:val="005A780F"/>
    <w:rsid w:val="005B2691"/>
    <w:rsid w:val="005B295E"/>
    <w:rsid w:val="005B2BE2"/>
    <w:rsid w:val="005C132F"/>
    <w:rsid w:val="005D6EF4"/>
    <w:rsid w:val="005F6D08"/>
    <w:rsid w:val="00631576"/>
    <w:rsid w:val="00635513"/>
    <w:rsid w:val="00662587"/>
    <w:rsid w:val="00674756"/>
    <w:rsid w:val="00674D72"/>
    <w:rsid w:val="00681A31"/>
    <w:rsid w:val="006A453D"/>
    <w:rsid w:val="006E5A11"/>
    <w:rsid w:val="007003B9"/>
    <w:rsid w:val="0070176B"/>
    <w:rsid w:val="0071242C"/>
    <w:rsid w:val="00713720"/>
    <w:rsid w:val="0072103B"/>
    <w:rsid w:val="007228C2"/>
    <w:rsid w:val="00725E83"/>
    <w:rsid w:val="00736353"/>
    <w:rsid w:val="00747309"/>
    <w:rsid w:val="0078794B"/>
    <w:rsid w:val="00790907"/>
    <w:rsid w:val="00795539"/>
    <w:rsid w:val="007A4135"/>
    <w:rsid w:val="007A5F61"/>
    <w:rsid w:val="007B54FE"/>
    <w:rsid w:val="007C5D53"/>
    <w:rsid w:val="007C70D2"/>
    <w:rsid w:val="007D2561"/>
    <w:rsid w:val="007E546D"/>
    <w:rsid w:val="007F5017"/>
    <w:rsid w:val="007F519B"/>
    <w:rsid w:val="008003D6"/>
    <w:rsid w:val="00810178"/>
    <w:rsid w:val="00822C9C"/>
    <w:rsid w:val="008345D4"/>
    <w:rsid w:val="00847A80"/>
    <w:rsid w:val="00851A07"/>
    <w:rsid w:val="00852AC1"/>
    <w:rsid w:val="00853132"/>
    <w:rsid w:val="00886486"/>
    <w:rsid w:val="00886A36"/>
    <w:rsid w:val="008A1F5A"/>
    <w:rsid w:val="008A5ACD"/>
    <w:rsid w:val="008C6CDF"/>
    <w:rsid w:val="008D220F"/>
    <w:rsid w:val="008D7A3A"/>
    <w:rsid w:val="008D7A93"/>
    <w:rsid w:val="008F39B1"/>
    <w:rsid w:val="00923401"/>
    <w:rsid w:val="009257DF"/>
    <w:rsid w:val="009258D8"/>
    <w:rsid w:val="0093770F"/>
    <w:rsid w:val="00945509"/>
    <w:rsid w:val="00961476"/>
    <w:rsid w:val="00961FF2"/>
    <w:rsid w:val="00963222"/>
    <w:rsid w:val="00966A79"/>
    <w:rsid w:val="00970CB7"/>
    <w:rsid w:val="009760A1"/>
    <w:rsid w:val="00983B84"/>
    <w:rsid w:val="00991DA1"/>
    <w:rsid w:val="00995DC2"/>
    <w:rsid w:val="009C060C"/>
    <w:rsid w:val="009C0E3B"/>
    <w:rsid w:val="009C2699"/>
    <w:rsid w:val="009C28B2"/>
    <w:rsid w:val="009C42BB"/>
    <w:rsid w:val="009D21F4"/>
    <w:rsid w:val="009D70A9"/>
    <w:rsid w:val="009E1E4D"/>
    <w:rsid w:val="009E67DF"/>
    <w:rsid w:val="00A004ED"/>
    <w:rsid w:val="00A02BC3"/>
    <w:rsid w:val="00A05E73"/>
    <w:rsid w:val="00A12845"/>
    <w:rsid w:val="00A15FC6"/>
    <w:rsid w:val="00A21482"/>
    <w:rsid w:val="00A32651"/>
    <w:rsid w:val="00A34FCE"/>
    <w:rsid w:val="00A41328"/>
    <w:rsid w:val="00A66D8F"/>
    <w:rsid w:val="00A66F3B"/>
    <w:rsid w:val="00A735CD"/>
    <w:rsid w:val="00A7534D"/>
    <w:rsid w:val="00A760F8"/>
    <w:rsid w:val="00A8174B"/>
    <w:rsid w:val="00A93C57"/>
    <w:rsid w:val="00A97688"/>
    <w:rsid w:val="00AB4DA6"/>
    <w:rsid w:val="00AB60D9"/>
    <w:rsid w:val="00AD1DE5"/>
    <w:rsid w:val="00AD2849"/>
    <w:rsid w:val="00AD55F5"/>
    <w:rsid w:val="00AE3B90"/>
    <w:rsid w:val="00AF0E21"/>
    <w:rsid w:val="00B1515A"/>
    <w:rsid w:val="00B3346C"/>
    <w:rsid w:val="00B347C0"/>
    <w:rsid w:val="00B35C7F"/>
    <w:rsid w:val="00B478A1"/>
    <w:rsid w:val="00B54CCF"/>
    <w:rsid w:val="00B61B6D"/>
    <w:rsid w:val="00B73A3F"/>
    <w:rsid w:val="00B74F41"/>
    <w:rsid w:val="00B84FEC"/>
    <w:rsid w:val="00B85981"/>
    <w:rsid w:val="00B921A3"/>
    <w:rsid w:val="00B9339A"/>
    <w:rsid w:val="00B9391F"/>
    <w:rsid w:val="00B953B9"/>
    <w:rsid w:val="00C03473"/>
    <w:rsid w:val="00C106C6"/>
    <w:rsid w:val="00C16F85"/>
    <w:rsid w:val="00C24B1F"/>
    <w:rsid w:val="00C276AE"/>
    <w:rsid w:val="00C307A8"/>
    <w:rsid w:val="00C30EF8"/>
    <w:rsid w:val="00C35B09"/>
    <w:rsid w:val="00C41455"/>
    <w:rsid w:val="00C43857"/>
    <w:rsid w:val="00C51C90"/>
    <w:rsid w:val="00C53C4D"/>
    <w:rsid w:val="00C55C31"/>
    <w:rsid w:val="00C77459"/>
    <w:rsid w:val="00C80115"/>
    <w:rsid w:val="00C80972"/>
    <w:rsid w:val="00C93025"/>
    <w:rsid w:val="00C95F86"/>
    <w:rsid w:val="00C967E0"/>
    <w:rsid w:val="00C96A2B"/>
    <w:rsid w:val="00CA170D"/>
    <w:rsid w:val="00CB2FEB"/>
    <w:rsid w:val="00CB6356"/>
    <w:rsid w:val="00CB7725"/>
    <w:rsid w:val="00CC7298"/>
    <w:rsid w:val="00CE1EB4"/>
    <w:rsid w:val="00CE2C59"/>
    <w:rsid w:val="00CE7BB3"/>
    <w:rsid w:val="00CF3F57"/>
    <w:rsid w:val="00D04DE2"/>
    <w:rsid w:val="00D053B9"/>
    <w:rsid w:val="00D24EE3"/>
    <w:rsid w:val="00D3118A"/>
    <w:rsid w:val="00D37286"/>
    <w:rsid w:val="00D37C7D"/>
    <w:rsid w:val="00D56B3B"/>
    <w:rsid w:val="00D61F24"/>
    <w:rsid w:val="00D701A8"/>
    <w:rsid w:val="00D70A37"/>
    <w:rsid w:val="00D810CD"/>
    <w:rsid w:val="00D850A7"/>
    <w:rsid w:val="00D87CBD"/>
    <w:rsid w:val="00D94F4D"/>
    <w:rsid w:val="00DA1D70"/>
    <w:rsid w:val="00DA2BC0"/>
    <w:rsid w:val="00DA52CC"/>
    <w:rsid w:val="00DA56BB"/>
    <w:rsid w:val="00DB6048"/>
    <w:rsid w:val="00DC215B"/>
    <w:rsid w:val="00DD1C59"/>
    <w:rsid w:val="00DD6EC2"/>
    <w:rsid w:val="00DE665C"/>
    <w:rsid w:val="00DF12C4"/>
    <w:rsid w:val="00DF7806"/>
    <w:rsid w:val="00E16FB3"/>
    <w:rsid w:val="00E22DCF"/>
    <w:rsid w:val="00E44EC9"/>
    <w:rsid w:val="00E52589"/>
    <w:rsid w:val="00E71F22"/>
    <w:rsid w:val="00E727D9"/>
    <w:rsid w:val="00E856BD"/>
    <w:rsid w:val="00E86E54"/>
    <w:rsid w:val="00E90697"/>
    <w:rsid w:val="00E92774"/>
    <w:rsid w:val="00E94F77"/>
    <w:rsid w:val="00E96273"/>
    <w:rsid w:val="00EB0A8C"/>
    <w:rsid w:val="00EB145C"/>
    <w:rsid w:val="00ED263E"/>
    <w:rsid w:val="00EE76CC"/>
    <w:rsid w:val="00EF20E5"/>
    <w:rsid w:val="00EF6447"/>
    <w:rsid w:val="00F101A0"/>
    <w:rsid w:val="00F1607C"/>
    <w:rsid w:val="00F257D5"/>
    <w:rsid w:val="00F3096F"/>
    <w:rsid w:val="00F3267C"/>
    <w:rsid w:val="00F37364"/>
    <w:rsid w:val="00F37F27"/>
    <w:rsid w:val="00F4246D"/>
    <w:rsid w:val="00F42E68"/>
    <w:rsid w:val="00F67773"/>
    <w:rsid w:val="00F67A86"/>
    <w:rsid w:val="00F76C44"/>
    <w:rsid w:val="00F83285"/>
    <w:rsid w:val="00FB2FB7"/>
    <w:rsid w:val="00FC0E6D"/>
    <w:rsid w:val="00FC2AEA"/>
    <w:rsid w:val="00FD4728"/>
    <w:rsid w:val="00FE7B80"/>
    <w:rsid w:val="00FF4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354F48D"/>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D61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24"/>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1486C-84E5-43BE-AEFC-B315A687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Firas Ramzi</cp:lastModifiedBy>
  <cp:revision>35</cp:revision>
  <cp:lastPrinted>2023-11-23T10:39:00Z</cp:lastPrinted>
  <dcterms:created xsi:type="dcterms:W3CDTF">2023-11-23T10:44:00Z</dcterms:created>
  <dcterms:modified xsi:type="dcterms:W3CDTF">2024-08-01T09:29:00Z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